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06CF" w14:textId="77777777" w:rsidR="006B06F9" w:rsidRPr="000419F4" w:rsidRDefault="006B06F9" w:rsidP="006B06F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0419F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6F14F55C" w14:textId="77777777" w:rsidR="006B06F9" w:rsidRPr="000419F4" w:rsidRDefault="006B06F9" w:rsidP="006B06F9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1215B32D" w14:textId="77777777" w:rsidR="006B06F9" w:rsidRPr="000419F4" w:rsidRDefault="006B06F9" w:rsidP="006B06F9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6587766C" w14:textId="77777777" w:rsidR="006B06F9" w:rsidRPr="001C5E49" w:rsidRDefault="006B06F9" w:rsidP="006B06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C5E49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18D70C77" w14:textId="7BD06C75" w:rsidR="006B06F9" w:rsidRPr="000419F4" w:rsidRDefault="006B06F9" w:rsidP="006B06F9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()#end</w:t>
      </w:r>
    </w:p>
    <w:p w14:paraId="0D05F50B" w14:textId="77777777" w:rsidR="006B06F9" w:rsidRPr="001C5E49" w:rsidRDefault="006B06F9" w:rsidP="006B06F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896693C" w14:textId="77777777" w:rsidR="006B06F9" w:rsidRPr="000419F4" w:rsidRDefault="006B06F9" w:rsidP="006B06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655F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655FA">
        <w:rPr>
          <w:rFonts w:eastAsia="Times New Roman" w:cs="Arial"/>
          <w:sz w:val="18"/>
          <w:szCs w:val="18"/>
          <w:lang w:eastAsia="pt-BR"/>
        </w:rPr>
        <w:t>parteSelecionadaDadosCompletos</w:t>
      </w:r>
      <w:proofErr w:type="spellEnd"/>
    </w:p>
    <w:p w14:paraId="7D4FEC26" w14:textId="77777777" w:rsidR="006B06F9" w:rsidRPr="000419F4" w:rsidRDefault="006B06F9" w:rsidP="006B06F9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7E236756" w14:textId="026B6C3B" w:rsidR="006B06F9" w:rsidRPr="000419F4" w:rsidRDefault="006B06F9" w:rsidP="006B06F9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9E5361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2F40400F" w14:textId="77777777" w:rsidR="006B06F9" w:rsidRPr="000419F4" w:rsidRDefault="006B06F9" w:rsidP="006B06F9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4EE655FE" w14:textId="2BC09DF4" w:rsidR="006B06F9" w:rsidRDefault="006B06F9" w:rsidP="006B06F9">
      <w:pPr>
        <w:pStyle w:val="SemEspaamento"/>
        <w:rPr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r w:rsidRPr="000419F4">
        <w:rPr>
          <w:b/>
          <w:sz w:val="18"/>
          <w:szCs w:val="18"/>
          <w:u w:val="single"/>
          <w:lang w:eastAsia="pt-BR"/>
        </w:rPr>
        <w:t>INTIMADO(A)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sobre</w:t>
      </w:r>
      <w:r w:rsidRPr="000419F4">
        <w:rPr>
          <w:sz w:val="18"/>
          <w:szCs w:val="18"/>
          <w:lang w:eastAsia="pt-BR"/>
        </w:rPr>
        <w:t>:</w:t>
      </w:r>
    </w:p>
    <w:p w14:paraId="31DDDC7E" w14:textId="41B248BD" w:rsidR="006B06F9" w:rsidRDefault="006B06F9" w:rsidP="006B06F9">
      <w:pPr>
        <w:pStyle w:val="SemEspaamento"/>
        <w:rPr>
          <w:sz w:val="18"/>
          <w:szCs w:val="18"/>
        </w:rPr>
      </w:pPr>
      <w:r w:rsidRPr="00DB158C">
        <w:rPr>
          <w:b/>
          <w:sz w:val="18"/>
          <w:szCs w:val="18"/>
        </w:rPr>
        <w:t>1.1</w:t>
      </w:r>
      <w:r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74617">
        <w:rPr>
          <w:sz w:val="18"/>
          <w:szCs w:val="18"/>
        </w:rPr>
        <w:t xml:space="preserve">O conteúdo da </w:t>
      </w:r>
      <w:r w:rsidRPr="005F6057">
        <w:rPr>
          <w:b/>
          <w:sz w:val="18"/>
          <w:szCs w:val="18"/>
        </w:rPr>
        <w:t xml:space="preserve">sentença </w:t>
      </w:r>
      <w:r>
        <w:rPr>
          <w:sz w:val="18"/>
          <w:szCs w:val="18"/>
        </w:rPr>
        <w:t>(</w:t>
      </w:r>
      <w:r w:rsidRPr="00DF5CB4">
        <w:rPr>
          <w:sz w:val="18"/>
          <w:szCs w:val="18"/>
          <w:u w:val="single"/>
        </w:rPr>
        <w:t>em anexo</w:t>
      </w:r>
      <w:r>
        <w:rPr>
          <w:sz w:val="18"/>
          <w:szCs w:val="18"/>
        </w:rPr>
        <w:t>) proferida pelo(a) J</w:t>
      </w:r>
      <w:r w:rsidRPr="00274617">
        <w:rPr>
          <w:sz w:val="18"/>
          <w:szCs w:val="18"/>
        </w:rPr>
        <w:t>uiz</w:t>
      </w:r>
      <w:r>
        <w:rPr>
          <w:sz w:val="18"/>
          <w:szCs w:val="18"/>
        </w:rPr>
        <w:t>(a)</w:t>
      </w:r>
      <w:r w:rsidRPr="00274617">
        <w:rPr>
          <w:sz w:val="18"/>
          <w:szCs w:val="18"/>
        </w:rPr>
        <w:t xml:space="preserve"> nos autos acima indicados</w:t>
      </w:r>
      <w:r>
        <w:rPr>
          <w:sz w:val="18"/>
          <w:szCs w:val="18"/>
        </w:rPr>
        <w:t>;</w:t>
      </w:r>
    </w:p>
    <w:p w14:paraId="27608A3E" w14:textId="77777777" w:rsidR="006B06F9" w:rsidRDefault="006B06F9" w:rsidP="006B06F9">
      <w:pPr>
        <w:pStyle w:val="SemEspaamento"/>
        <w:rPr>
          <w:sz w:val="18"/>
          <w:szCs w:val="18"/>
        </w:rPr>
      </w:pPr>
      <w:r w:rsidRPr="00DB158C">
        <w:rPr>
          <w:b/>
          <w:sz w:val="18"/>
          <w:szCs w:val="18"/>
        </w:rPr>
        <w:t>1.2</w:t>
      </w:r>
      <w:r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A possibilidade de recorrer, no </w:t>
      </w:r>
      <w:r w:rsidRPr="00DB158C">
        <w:rPr>
          <w:b/>
          <w:sz w:val="18"/>
          <w:szCs w:val="18"/>
        </w:rPr>
        <w:t>prazo de 10</w:t>
      </w:r>
      <w:r>
        <w:rPr>
          <w:b/>
          <w:sz w:val="18"/>
          <w:szCs w:val="18"/>
        </w:rPr>
        <w:t xml:space="preserve"> </w:t>
      </w:r>
      <w:r w:rsidRPr="00DB158C">
        <w:rPr>
          <w:b/>
          <w:sz w:val="18"/>
          <w:szCs w:val="18"/>
        </w:rPr>
        <w:t>(dez) dias</w:t>
      </w:r>
      <w:r>
        <w:rPr>
          <w:b/>
          <w:sz w:val="18"/>
          <w:szCs w:val="18"/>
        </w:rPr>
        <w:t xml:space="preserve"> corridos</w:t>
      </w:r>
      <w:r>
        <w:rPr>
          <w:sz w:val="18"/>
          <w:szCs w:val="18"/>
        </w:rPr>
        <w:t>,</w:t>
      </w:r>
      <w:r>
        <w:rPr>
          <w:b/>
          <w:sz w:val="18"/>
          <w:szCs w:val="18"/>
        </w:rPr>
        <w:t xml:space="preserve"> </w:t>
      </w:r>
      <w:r w:rsidRPr="00F508EA">
        <w:rPr>
          <w:sz w:val="18"/>
          <w:szCs w:val="18"/>
        </w:rPr>
        <w:t>a contar d</w:t>
      </w:r>
      <w:r>
        <w:rPr>
          <w:sz w:val="18"/>
          <w:szCs w:val="18"/>
        </w:rPr>
        <w:t>a</w:t>
      </w:r>
      <w:r w:rsidRPr="00F508EA">
        <w:rPr>
          <w:sz w:val="18"/>
          <w:szCs w:val="18"/>
        </w:rPr>
        <w:t xml:space="preserve"> data</w:t>
      </w:r>
      <w:r>
        <w:rPr>
          <w:sz w:val="18"/>
          <w:szCs w:val="18"/>
        </w:rPr>
        <w:t xml:space="preserve"> de recebimento desta intimação, por meio de advogado(a) </w:t>
      </w:r>
      <w:r w:rsidRPr="000D40DF">
        <w:rPr>
          <w:sz w:val="18"/>
          <w:szCs w:val="18"/>
        </w:rPr>
        <w:t>(art. 82, § 1º, Lei nº 9.099/1995)</w:t>
      </w:r>
      <w:r>
        <w:rPr>
          <w:sz w:val="18"/>
          <w:szCs w:val="18"/>
        </w:rPr>
        <w:t>.</w:t>
      </w:r>
    </w:p>
    <w:p w14:paraId="757DC33E" w14:textId="77777777" w:rsidR="006B06F9" w:rsidRDefault="006B06F9" w:rsidP="006B06F9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74B816C9" w14:textId="5D94077F" w:rsidR="006B06F9" w:rsidRPr="00BF50C0" w:rsidRDefault="006B06F9" w:rsidP="006B06F9">
      <w:pPr>
        <w:spacing w:after="0" w:line="240" w:lineRule="auto"/>
        <w:rPr>
          <w:rFonts w:eastAsia="Arial" w:cs="Arial"/>
          <w:sz w:val="18"/>
          <w:szCs w:val="18"/>
        </w:rPr>
      </w:pPr>
      <w:r w:rsidRPr="00BF50C0">
        <w:rPr>
          <w:rFonts w:eastAsia="Arial" w:cs="Arial"/>
          <w:b/>
          <w:bCs/>
          <w:sz w:val="18"/>
          <w:szCs w:val="18"/>
        </w:rPr>
        <w:t>MUDOU DE ENDEREÇO?</w:t>
      </w:r>
      <w:r w:rsidRPr="00BF50C0">
        <w:rPr>
          <w:rFonts w:eastAsia="Arial" w:cs="Arial"/>
          <w:sz w:val="18"/>
          <w:szCs w:val="18"/>
        </w:rPr>
        <w:t xml:space="preserve"> É preciso comunicar </w:t>
      </w:r>
      <w:r w:rsidR="00513270">
        <w:rPr>
          <w:rFonts w:eastAsia="Arial" w:cs="Arial"/>
          <w:sz w:val="18"/>
          <w:szCs w:val="18"/>
        </w:rPr>
        <w:t>à</w:t>
      </w:r>
      <w:r w:rsidRPr="00BF50C0">
        <w:rPr>
          <w:rFonts w:eastAsia="Arial" w:cs="Arial"/>
          <w:sz w:val="18"/>
          <w:szCs w:val="18"/>
        </w:rPr>
        <w:t xml:space="preserve"> Secretaria do Juizado as mudanças de endereço ocorridas durante o processo.</w:t>
      </w:r>
      <w:r>
        <w:rPr>
          <w:rFonts w:eastAsia="Arial" w:cs="Arial"/>
          <w:sz w:val="18"/>
          <w:szCs w:val="18"/>
        </w:rPr>
        <w:t xml:space="preserve"> </w:t>
      </w:r>
    </w:p>
    <w:p w14:paraId="554F0133" w14:textId="77777777" w:rsidR="006B06F9" w:rsidRDefault="006B06F9" w:rsidP="006B06F9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32906F64" w14:textId="77777777" w:rsidR="009E5361" w:rsidRDefault="009E5361" w:rsidP="009E5361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6A0E298A" w14:textId="77777777" w:rsidR="009E5361" w:rsidRDefault="009E5361" w:rsidP="009E5361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3C5C87A6" w14:textId="77777777" w:rsidR="009E5361" w:rsidRPr="002F2221" w:rsidRDefault="009E5361" w:rsidP="009E5361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2F2221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706F6998" w14:textId="3C41307E" w:rsidR="008216D2" w:rsidRDefault="009E5361" w:rsidP="00D55AB3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F9"/>
    <w:rsid w:val="001C5E49"/>
    <w:rsid w:val="004A6052"/>
    <w:rsid w:val="00513270"/>
    <w:rsid w:val="006B06F9"/>
    <w:rsid w:val="007808D5"/>
    <w:rsid w:val="007F778D"/>
    <w:rsid w:val="008216D2"/>
    <w:rsid w:val="009E5361"/>
    <w:rsid w:val="00AF1B38"/>
    <w:rsid w:val="00D55AB3"/>
    <w:rsid w:val="00E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C016"/>
  <w15:chartTrackingRefBased/>
  <w15:docId w15:val="{C6166BB3-6B86-4F37-A22E-E30F8A3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6F9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B06F9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6B06F9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B06F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Scholles</cp:lastModifiedBy>
  <cp:revision>9</cp:revision>
  <dcterms:created xsi:type="dcterms:W3CDTF">2022-10-05T21:33:00Z</dcterms:created>
  <dcterms:modified xsi:type="dcterms:W3CDTF">2023-11-17T20:20:00Z</dcterms:modified>
</cp:coreProperties>
</file>