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5E" w:rsidRDefault="0080715E" w:rsidP="0080715E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t-BR"/>
        </w:rPr>
      </w:pPr>
      <w:r>
        <w:rPr>
          <w:rFonts w:ascii="Arial" w:eastAsia="Times New Roman" w:hAnsi="Arial" w:cs="Arial"/>
          <w:sz w:val="15"/>
          <w:szCs w:val="15"/>
          <w:lang w:eastAsia="pt-BR"/>
        </w:rPr>
        <w:t>$</w:t>
      </w:r>
      <w:proofErr w:type="spellStart"/>
      <w:r>
        <w:rPr>
          <w:rFonts w:ascii="Arial" w:eastAsia="Times New Roman" w:hAnsi="Arial" w:cs="Arial"/>
          <w:sz w:val="15"/>
          <w:szCs w:val="15"/>
          <w:lang w:eastAsia="pt-BR"/>
        </w:rPr>
        <w:t>formatacaoModeloPadrao</w:t>
      </w:r>
      <w:proofErr w:type="spellEnd"/>
    </w:p>
    <w:p w:rsidR="0080715E" w:rsidRDefault="0080715E" w:rsidP="0080715E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t-BR"/>
        </w:rPr>
      </w:pPr>
      <w:r>
        <w:rPr>
          <w:rFonts w:ascii="Arial" w:eastAsia="Times New Roman" w:hAnsi="Arial" w:cs="Arial"/>
          <w:sz w:val="15"/>
          <w:szCs w:val="15"/>
          <w:lang w:eastAsia="pt-BR"/>
        </w:rPr>
        <w:t>$</w:t>
      </w:r>
      <w:proofErr w:type="spellStart"/>
      <w:r>
        <w:rPr>
          <w:rFonts w:ascii="Arial" w:eastAsia="Times New Roman" w:hAnsi="Arial" w:cs="Arial"/>
          <w:sz w:val="15"/>
          <w:szCs w:val="15"/>
          <w:lang w:eastAsia="pt-BR"/>
        </w:rPr>
        <w:t>cabecalho</w:t>
      </w:r>
      <w:proofErr w:type="spellEnd"/>
    </w:p>
    <w:p w:rsidR="0080715E" w:rsidRDefault="0080715E" w:rsidP="0080715E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t-BR"/>
        </w:rPr>
      </w:pPr>
      <w:r>
        <w:rPr>
          <w:rFonts w:ascii="Arial" w:eastAsia="Times New Roman" w:hAnsi="Arial" w:cs="Arial"/>
          <w:sz w:val="15"/>
          <w:szCs w:val="15"/>
          <w:lang w:eastAsia="pt-BR"/>
        </w:rPr>
        <w:t>$</w:t>
      </w:r>
      <w:proofErr w:type="spellStart"/>
      <w:r>
        <w:rPr>
          <w:rFonts w:ascii="Arial" w:eastAsia="Times New Roman" w:hAnsi="Arial" w:cs="Arial"/>
          <w:sz w:val="15"/>
          <w:szCs w:val="15"/>
          <w:lang w:eastAsia="pt-BR"/>
        </w:rPr>
        <w:t>dadosProcessoCompletoSemContato</w:t>
      </w:r>
      <w:proofErr w:type="spellEnd"/>
    </w:p>
    <w:p w:rsidR="0080715E" w:rsidRPr="000B0A73" w:rsidRDefault="0080715E" w:rsidP="0080715E">
      <w:pPr>
        <w:spacing w:after="0" w:line="240" w:lineRule="auto"/>
        <w:rPr>
          <w:rFonts w:ascii="Verdana" w:eastAsia="Times New Roman" w:hAnsi="Verdana" w:cs="Times New Roman"/>
          <w:color w:val="3E4034"/>
          <w:sz w:val="17"/>
          <w:szCs w:val="17"/>
          <w:lang w:eastAsia="pt-BR"/>
        </w:rPr>
      </w:pPr>
    </w:p>
    <w:tbl>
      <w:tblPr>
        <w:tblpPr w:leftFromText="45" w:rightFromText="45" w:vertAnchor="text"/>
        <w:tblW w:w="103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4559"/>
        <w:gridCol w:w="2396"/>
      </w:tblGrid>
      <w:tr w:rsidR="0080715E" w:rsidRPr="000B0A73" w:rsidTr="004F29F1">
        <w:trPr>
          <w:trHeight w:val="750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15E" w:rsidRPr="000B0A73" w:rsidRDefault="0080715E" w:rsidP="004F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OBRIGAÇÃO</w:t>
            </w:r>
            <w:r w:rsidRPr="3226DFB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 xml:space="preserve"> DE PEQUENO VALOR</w:t>
            </w:r>
            <w:r>
              <w:br/>
            </w:r>
            <w:r w:rsidRPr="3226DF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nº $</w:t>
            </w:r>
            <w:proofErr w:type="spellStart"/>
            <w:r w:rsidRPr="3226DF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cumprimentoCartorio.getIdentificadorCumprimentoFormatado</w:t>
            </w:r>
            <w:proofErr w:type="spellEnd"/>
            <w:r w:rsidRPr="3226DF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()</w:t>
            </w:r>
          </w:p>
        </w:tc>
      </w:tr>
      <w:tr w:rsidR="0080715E" w:rsidRPr="000B0A73" w:rsidTr="004F29F1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15E" w:rsidRPr="003C3163" w:rsidRDefault="0080715E" w:rsidP="004F2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 ATENÇÃO À DECISÃO PROFERIDA NO PROCESSO SUPRACITADO, REQUISITO O PAGAMENTO EM FAVOR DO(A) BENEFICIÁRIO(A), CONFORME INFORMAÇÕES ABAIXO:</w:t>
            </w:r>
          </w:p>
        </w:tc>
      </w:tr>
      <w:tr w:rsidR="0080715E" w:rsidRPr="000B0A73" w:rsidTr="0080715E">
        <w:trPr>
          <w:tblCellSpacing w:w="15" w:type="dxa"/>
        </w:trPr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15E" w:rsidRPr="003C3163" w:rsidRDefault="0080715E" w:rsidP="004F2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NATUREZA</w:t>
            </w:r>
          </w:p>
        </w:tc>
        <w:tc>
          <w:tcPr>
            <w:tcW w:w="6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15E" w:rsidRPr="003C3163" w:rsidRDefault="0080715E" w:rsidP="004F29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CUSTAS E DESPESAS PROCESSUAIS</w:t>
            </w:r>
          </w:p>
        </w:tc>
      </w:tr>
      <w:tr w:rsidR="0080715E" w:rsidRPr="000B0A73" w:rsidTr="0080715E">
        <w:trPr>
          <w:tblCellSpacing w:w="15" w:type="dxa"/>
        </w:trPr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15E" w:rsidRPr="003C3163" w:rsidRDefault="0080715E" w:rsidP="004F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15E" w:rsidRPr="003C3163" w:rsidRDefault="0080715E" w:rsidP="004F2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15E" w:rsidRPr="003C3163" w:rsidRDefault="0080715E" w:rsidP="004F2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MOVIMENTO</w:t>
            </w:r>
          </w:p>
        </w:tc>
      </w:tr>
      <w:tr w:rsidR="0080715E" w:rsidRPr="000B0A73" w:rsidTr="0080715E">
        <w:trPr>
          <w:tblCellSpacing w:w="15" w:type="dxa"/>
        </w:trPr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15E" w:rsidRPr="003C3163" w:rsidRDefault="0080715E" w:rsidP="004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AJUIZAMENTO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15E" w:rsidRPr="003C3163" w:rsidRDefault="00954C40" w:rsidP="004F2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hyperlink r:id="rId4" w:tooltip="Clique para copiar" w:history="1">
              <w:r w:rsidR="0080715E" w:rsidRPr="003C3163">
                <w:rPr>
                  <w:rFonts w:ascii="Arial" w:eastAsia="Times New Roman" w:hAnsi="Arial" w:cs="Arial"/>
                  <w:sz w:val="18"/>
                  <w:szCs w:val="18"/>
                  <w:lang w:eastAsia="pt-BR"/>
                </w:rPr>
                <w:t>$</w:t>
              </w:r>
              <w:proofErr w:type="spellStart"/>
              <w:r w:rsidR="0080715E" w:rsidRPr="003C3163">
                <w:rPr>
                  <w:rFonts w:ascii="Arial" w:eastAsia="Times New Roman" w:hAnsi="Arial" w:cs="Arial"/>
                  <w:sz w:val="18"/>
                  <w:szCs w:val="18"/>
                  <w:lang w:eastAsia="pt-BR"/>
                </w:rPr>
                <w:t>dataAutuacao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15E" w:rsidRPr="003C3163" w:rsidRDefault="0080715E" w:rsidP="004F2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73A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0715E" w:rsidRPr="000B0A73" w:rsidTr="0080715E">
        <w:trPr>
          <w:tblCellSpacing w:w="15" w:type="dxa"/>
        </w:trPr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15E" w:rsidRPr="003C3163" w:rsidRDefault="0080715E" w:rsidP="004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TRÂNSITO EM JULGADO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15E" w:rsidRPr="003C3163" w:rsidRDefault="0080715E" w:rsidP="004F2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autosDataTransitoJulgado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15E" w:rsidRPr="003C3163" w:rsidRDefault="0080715E" w:rsidP="004F2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  <w:proofErr w:type="spellEnd"/>
          </w:p>
        </w:tc>
      </w:tr>
      <w:tr w:rsidR="0080715E" w:rsidRPr="000B0A73" w:rsidTr="0080715E">
        <w:trPr>
          <w:tblCellSpacing w:w="15" w:type="dxa"/>
        </w:trPr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15E" w:rsidRPr="00777FC2" w:rsidRDefault="0080715E" w:rsidP="004F29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DE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CONTA DE CUSTAS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15E" w:rsidRPr="007E3AA7" w:rsidRDefault="0080715E" w:rsidP="004F2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15E" w:rsidRPr="003C3163" w:rsidRDefault="0080715E" w:rsidP="004F29F1">
            <w:pPr>
              <w:spacing w:after="0" w:line="240" w:lineRule="auto"/>
              <w:jc w:val="center"/>
              <w:rPr>
                <w:rFonts w:ascii="Arial" w:hAnsi="Arial" w:cs="Arial"/>
                <w:color w:val="3300FF"/>
                <w:sz w:val="18"/>
                <w:szCs w:val="18"/>
              </w:rPr>
            </w:pPr>
            <w:proofErr w:type="spellStart"/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  <w:proofErr w:type="spellEnd"/>
          </w:p>
        </w:tc>
      </w:tr>
      <w:tr w:rsidR="0080715E" w:rsidRPr="000B0A73" w:rsidTr="0080715E">
        <w:trPr>
          <w:tblCellSpacing w:w="15" w:type="dxa"/>
        </w:trPr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15E" w:rsidRPr="003C3163" w:rsidRDefault="0080715E" w:rsidP="004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77FC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DECISÃO DE HOMOLOGAÇÃO DO CÁLCULO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DETERMINAÇÃO DE EXPEDIÇÃO DA O</w:t>
            </w:r>
            <w:r w:rsidRPr="00777FC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PV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15E" w:rsidRPr="007E3AA7" w:rsidRDefault="0080715E" w:rsidP="004F2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3A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15E" w:rsidRPr="003C3163" w:rsidRDefault="0080715E" w:rsidP="004F2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  <w:proofErr w:type="spellEnd"/>
          </w:p>
        </w:tc>
      </w:tr>
      <w:tr w:rsidR="0080715E" w:rsidRPr="000B0A73" w:rsidTr="004F29F1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0715E" w:rsidRPr="003C3163" w:rsidRDefault="0080715E" w:rsidP="004F29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0715E" w:rsidRPr="000B0A73" w:rsidTr="0080715E">
        <w:trPr>
          <w:tblCellSpacing w:w="15" w:type="dxa"/>
        </w:trPr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15E" w:rsidRPr="003C3163" w:rsidRDefault="0080715E" w:rsidP="004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83DE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VALOR CONFORME </w:t>
            </w:r>
            <w:r w:rsidRPr="00683D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TABELA DE CUSTAS VIGENTE</w:t>
            </w:r>
          </w:p>
        </w:tc>
        <w:tc>
          <w:tcPr>
            <w:tcW w:w="6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15E" w:rsidRPr="003C3163" w:rsidRDefault="0080715E" w:rsidP="004F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Pr="003C3163">
              <w:rPr>
                <w:rFonts w:ascii="Arial" w:hAnsi="Arial" w:cs="Arial"/>
                <w:b/>
                <w:bCs/>
                <w:color w:val="3300FF"/>
                <w:sz w:val="18"/>
                <w:szCs w:val="18"/>
              </w:rPr>
              <w:t>00,00</w:t>
            </w:r>
          </w:p>
        </w:tc>
      </w:tr>
      <w:tr w:rsidR="0080715E" w:rsidRPr="000B0A73" w:rsidTr="0080715E">
        <w:trPr>
          <w:tblCellSpacing w:w="15" w:type="dxa"/>
        </w:trPr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15E" w:rsidRPr="003C3163" w:rsidRDefault="0080715E" w:rsidP="004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DEVEDOR (CNPJ)</w:t>
            </w:r>
          </w:p>
        </w:tc>
        <w:tc>
          <w:tcPr>
            <w:tcW w:w="6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15E" w:rsidRPr="003C3163" w:rsidRDefault="0080715E" w:rsidP="004F29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sugestaoPartesProcessoComCPF</w:t>
            </w:r>
            <w:proofErr w:type="spellEnd"/>
          </w:p>
        </w:tc>
      </w:tr>
      <w:tr w:rsidR="0080715E" w:rsidRPr="000B0A73" w:rsidTr="0080715E">
        <w:trPr>
          <w:tblCellSpacing w:w="15" w:type="dxa"/>
        </w:trPr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15E" w:rsidRPr="003C3163" w:rsidRDefault="0080715E" w:rsidP="004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BENEFICIÁRIO 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CNPJ</w:t>
            </w: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6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15E" w:rsidRPr="003C3163" w:rsidRDefault="0080715E" w:rsidP="004F2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DE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FUNJUS - FUNDO DA JUSTIÇA DO PODER JUDICIÁRIO</w:t>
            </w:r>
            <w:r w:rsidRPr="00683DE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>(CNPJ - 15.303.222.0001-50)</w:t>
            </w:r>
          </w:p>
        </w:tc>
      </w:tr>
      <w:tr w:rsidR="0080715E" w:rsidRPr="000B0A73" w:rsidTr="004F29F1">
        <w:trPr>
          <w:trHeight w:val="1049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15E" w:rsidRPr="003C3163" w:rsidRDefault="0080715E" w:rsidP="004F2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 prazo de pagamento desta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requisição de obrigação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pequeno valor é de 2 (dois) me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ses (art. 535, § 3º, inc. II,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CPC).</w:t>
            </w:r>
          </w:p>
          <w:p w:rsidR="0080715E" w:rsidRPr="003C3163" w:rsidRDefault="0080715E" w:rsidP="004F2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contagem do prazo tem início a partir da leitura de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sta intimação (art. 7º, § 2º,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Decreto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Judiciário 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382/2020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TJPR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).</w:t>
            </w:r>
          </w:p>
          <w:p w:rsidR="0080715E" w:rsidRDefault="009D4292" w:rsidP="004F2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4774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 pagamento desta requisição de obrigação de pequeno valor poderá ser realizado via </w:t>
            </w:r>
            <w:r w:rsidRPr="00547749">
              <w:rPr>
                <w:rFonts w:ascii="Arial" w:eastAsia="Times New Roman" w:hAnsi="Arial" w:cs="Arial"/>
                <w:sz w:val="18"/>
                <w:szCs w:val="18"/>
                <w:u w:val="single"/>
                <w:lang w:eastAsia="pt-BR"/>
              </w:rPr>
              <w:t>depósito judicial</w:t>
            </w:r>
            <w:r w:rsidRPr="0054774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mediante </w:t>
            </w:r>
            <w:r w:rsidRPr="00547749">
              <w:rPr>
                <w:rFonts w:ascii="Arial" w:eastAsia="Times New Roman" w:hAnsi="Arial" w:cs="Arial"/>
                <w:sz w:val="18"/>
                <w:szCs w:val="18"/>
                <w:u w:val="single"/>
                <w:lang w:eastAsia="pt-BR"/>
              </w:rPr>
              <w:t>quitação direta das guias vinculadas</w:t>
            </w:r>
            <w:r w:rsidRPr="0054774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a depender da possibilidade técnica do respectivo ente. Caso o pagamento ocorra por depósito judicial, as custas e despesas processuais serão quitadas pela Secretaria da Unidade Judiciária, mediante emissão de guias vinculadas (art. 1º, Decreto Judiciário nº 738/2014 do TJPR; e art. 5º, Decreto Judiciário nº 744/2009 do TJPR).</w:t>
            </w:r>
            <w:bookmarkStart w:id="0" w:name="_GoBack"/>
            <w:bookmarkEnd w:id="0"/>
            <w:r w:rsidR="0080715E" w:rsidRPr="009604B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:rsidR="0080715E" w:rsidRDefault="0080715E" w:rsidP="004F2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</w:t>
            </w:r>
            <w:r w:rsidRPr="0061536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dota-se o prazo prescricional quinquenal para custas devidas ao FUNJUS e anual para custas devidas aos titulares de serventias privadas – inteligência dos </w:t>
            </w:r>
            <w:proofErr w:type="spellStart"/>
            <w:r w:rsidRPr="0061536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arts</w:t>
            </w:r>
            <w:proofErr w:type="spellEnd"/>
            <w:r w:rsidRPr="0061536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. 206, §1º,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inc. </w:t>
            </w:r>
            <w:r w:rsidRPr="0061536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III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</w:t>
            </w:r>
            <w:r w:rsidRPr="0061536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Código Civil e 17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 do Código Tributário Nacional, com</w:t>
            </w:r>
            <w:r w:rsidRPr="0061536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base no E</w:t>
            </w:r>
            <w:r w:rsidRPr="0061536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nunciad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Orientativo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n° 41 do FUNJUS.</w:t>
            </w:r>
          </w:p>
          <w:p w:rsidR="0080715E" w:rsidRPr="003C3163" w:rsidRDefault="00EE6193" w:rsidP="004F2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0715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Conforme o Enunciado </w:t>
            </w:r>
            <w:proofErr w:type="spellStart"/>
            <w:r w:rsidRPr="0080715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Orientativo</w:t>
            </w:r>
            <w:proofErr w:type="spellEnd"/>
            <w:r w:rsidRPr="0080715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nº 24 do FUNJUS</w:t>
            </w:r>
            <w:r>
              <w:t xml:space="preserve"> </w:t>
            </w:r>
            <w:r w:rsidRPr="009E45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- Texto Revisado (CUSTAS E DESPESAS PROCESSUAIS. Cálculo das Custas finais. Instrução Normativa nº 12/2017 da CGJ), </w:t>
            </w:r>
            <w:r w:rsidRPr="009E450A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"apesar de a obrigação ser formada na data do trânsito em julgado, as “custas finais” (ou remanescentes) devem ser atualizadas monetariamente na ocasião da sua cobrança. [.</w:t>
            </w:r>
            <w:r w:rsidR="0055307E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..] Portanto, no que se refere à</w:t>
            </w:r>
            <w:r w:rsidRPr="009E450A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 emissão das guias de custas finais, transcorrendo-se lapso temporal entre a cotação das custas e a emissão das guias, é desnecessária a correção monetária por outro meio, bastando que seja utilizado o </w:t>
            </w:r>
            <w:r w:rsidRPr="00D6622A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pt-BR"/>
              </w:rPr>
              <w:t>Sistema Uniformizado</w:t>
            </w:r>
            <w:r w:rsidRPr="009E450A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, pois esse é alimentado pela tabela de custas vigente, gerando automaticamente a quantidade em reais dos itens estipulados em VRC na data de emissão das guias de custas finais."</w:t>
            </w:r>
            <w:r w:rsidRPr="009E45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80715E" w:rsidRPr="000B0A73" w:rsidTr="004F29F1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15E" w:rsidRPr="000B0A73" w:rsidRDefault="0080715E" w:rsidP="004F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48F370B8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Data e assinatura conforme sistema.</w:t>
            </w:r>
          </w:p>
        </w:tc>
      </w:tr>
    </w:tbl>
    <w:p w:rsidR="0080715E" w:rsidRPr="000B0A73" w:rsidRDefault="0080715E" w:rsidP="0080715E">
      <w:pPr>
        <w:spacing w:after="0" w:line="240" w:lineRule="auto"/>
        <w:jc w:val="center"/>
        <w:rPr>
          <w:rFonts w:ascii="Verdana" w:eastAsia="Times New Roman" w:hAnsi="Verdana" w:cs="Times New Roman"/>
          <w:color w:val="3E4034"/>
          <w:sz w:val="17"/>
          <w:szCs w:val="17"/>
          <w:lang w:eastAsia="pt-BR"/>
        </w:rPr>
      </w:pPr>
    </w:p>
    <w:p w:rsidR="0080715E" w:rsidRPr="000B0A73" w:rsidRDefault="0080715E" w:rsidP="0080715E">
      <w:pPr>
        <w:spacing w:after="0" w:line="240" w:lineRule="auto"/>
        <w:rPr>
          <w:rFonts w:ascii="Verdana" w:eastAsia="Times New Roman" w:hAnsi="Verdana" w:cs="Times New Roman"/>
          <w:color w:val="3E4034"/>
          <w:sz w:val="17"/>
          <w:szCs w:val="17"/>
          <w:lang w:eastAsia="pt-BR"/>
        </w:rPr>
      </w:pPr>
      <w:r w:rsidRPr="000B0A73">
        <w:rPr>
          <w:rFonts w:ascii="Arial" w:eastAsia="Times New Roman" w:hAnsi="Arial" w:cs="Arial"/>
          <w:color w:val="3E4034"/>
          <w:sz w:val="17"/>
          <w:szCs w:val="17"/>
          <w:lang w:eastAsia="pt-BR"/>
        </w:rPr>
        <w:t> </w:t>
      </w:r>
    </w:p>
    <w:p w:rsidR="00245688" w:rsidRDefault="00245688"/>
    <w:sectPr w:rsidR="00245688" w:rsidSect="000B0A73">
      <w:endnotePr>
        <w:numFmt w:val="decimal"/>
      </w:endnotePr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5E"/>
    <w:rsid w:val="00182C53"/>
    <w:rsid w:val="00245688"/>
    <w:rsid w:val="0055307E"/>
    <w:rsid w:val="0080715E"/>
    <w:rsid w:val="00954C40"/>
    <w:rsid w:val="009D4292"/>
    <w:rsid w:val="00EE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15B0A-4503-4A3B-8760-6B96CBE9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1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71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715E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0715E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0715E"/>
    <w:rPr>
      <w:color w:val="0563C1" w:themeColor="hyperlink"/>
      <w:u w:val="single"/>
    </w:rPr>
  </w:style>
  <w:style w:type="paragraph" w:customStyle="1" w:styleId="textocentralizadomaiusculas">
    <w:name w:val="texto_centralizado_maiusculas"/>
    <w:basedOn w:val="Normal"/>
    <w:rsid w:val="0080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80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//nop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4</cp:revision>
  <dcterms:created xsi:type="dcterms:W3CDTF">2023-04-03T21:36:00Z</dcterms:created>
  <dcterms:modified xsi:type="dcterms:W3CDTF">2024-05-07T19:36:00Z</dcterms:modified>
</cp:coreProperties>
</file>