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30FE" w14:textId="6AC33236" w:rsidR="004B34F3" w:rsidRPr="003530DA" w:rsidRDefault="00E80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0DAA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7889747C" w14:textId="77777777" w:rsidR="004B34F3" w:rsidRPr="003530DA" w:rsidRDefault="00E80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0DAA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4C46AEAF" w14:textId="77777777" w:rsidR="004B34F3" w:rsidRPr="005F0DAA" w:rsidRDefault="00E80B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F0DAA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4EA8504E" w14:textId="77777777" w:rsidR="004B34F3" w:rsidRPr="003530DA" w:rsidRDefault="00E80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530DA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2A1DAD49" w14:textId="77777777" w:rsidR="004B34F3" w:rsidRPr="003530DA" w:rsidRDefault="00E80B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F0DAA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4F8D810A" w14:textId="77777777" w:rsidR="004B34F3" w:rsidRDefault="00E80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30DA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Pr="003530DA">
        <w:rPr>
          <w:rFonts w:ascii="Arial" w:eastAsia="Times New Roman" w:hAnsi="Arial" w:cs="Arial"/>
          <w:lang w:eastAsia="pt-BR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 para cumprimento: $cumprimentoCartorio.getDescrevePrazo()#end</w:t>
      </w:r>
    </w:p>
    <w:p w14:paraId="029C4D54" w14:textId="77777777" w:rsidR="004B34F3" w:rsidRPr="003530DA" w:rsidRDefault="004B34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4F4A2F" w14:textId="77777777" w:rsidR="004B34F3" w:rsidRPr="003530DA" w:rsidRDefault="00E80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F0DA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r w:rsidRPr="005F0DAA">
        <w:rPr>
          <w:rFonts w:ascii="Arial" w:eastAsia="Times New Roman" w:hAnsi="Arial" w:cs="Arial"/>
          <w:sz w:val="18"/>
          <w:szCs w:val="18"/>
          <w:lang w:eastAsia="pt-BR"/>
        </w:rPr>
        <w:t>Sr(a). Juiz(a) de Direito $!autos.getJuizResponsavel().getNome(), do $vara.getDescricao(), Estado do Paraná.</w:t>
      </w:r>
    </w:p>
    <w:p w14:paraId="19DDCF89" w14:textId="338F67A2" w:rsidR="004B34F3" w:rsidRPr="003530DA" w:rsidRDefault="00E80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Hlk119072697"/>
      <w:r w:rsidRPr="005F0DAA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r w:rsidRPr="005F0DAA">
        <w:rPr>
          <w:rStyle w:val="normaltextrun"/>
          <w:rFonts w:ascii="Arial" w:hAnsi="Arial" w:cs="Arial"/>
          <w:sz w:val="18"/>
          <w:szCs w:val="18"/>
        </w:rPr>
        <w:t xml:space="preserve">Sr(a). Juiz(a) de Direito do Juizado Especial </w:t>
      </w:r>
      <w:r w:rsidR="0001611B" w:rsidRPr="005F0DAA">
        <w:rPr>
          <w:rStyle w:val="normaltextrun"/>
          <w:rFonts w:ascii="Arial" w:hAnsi="Arial" w:cs="Arial"/>
          <w:sz w:val="18"/>
          <w:szCs w:val="18"/>
        </w:rPr>
        <w:t>da Fazenda Pública de</w:t>
      </w:r>
      <w:r w:rsidRPr="005F0DA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F0DAA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5F0DAA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F0DAA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5F0DAA">
        <w:rPr>
          <w:rStyle w:val="normaltextrun"/>
          <w:rFonts w:ascii="Arial" w:hAnsi="Arial" w:cs="Arial"/>
          <w:sz w:val="18"/>
          <w:szCs w:val="18"/>
        </w:rPr>
        <w:t>.</w:t>
      </w:r>
      <w:r w:rsidRPr="005F0DAA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6D6F78CF" w14:textId="77777777" w:rsidR="004B34F3" w:rsidRPr="005F0DAA" w:rsidRDefault="00E80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F0DA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5F0DAA">
        <w:rPr>
          <w:rFonts w:ascii="Arial" w:eastAsia="Times New Roman" w:hAnsi="Arial" w:cs="Arial"/>
          <w:sz w:val="18"/>
          <w:szCs w:val="18"/>
          <w:lang w:eastAsia="pt-BR"/>
        </w:rPr>
        <w:t xml:space="preserve"> Autos de $!autos.getClasseProcessual().getDescricao() registrado sob o número $numeroUnicoFormatado, autuado em $dataAutuacao, em que é </w:t>
      </w:r>
      <w:r w:rsidRPr="005F0DA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5F0DAA">
        <w:rPr>
          <w:rFonts w:ascii="Arial" w:eastAsia="Times New Roman" w:hAnsi="Arial" w:cs="Arial"/>
          <w:sz w:val="18"/>
          <w:szCs w:val="18"/>
          <w:lang w:eastAsia="pt-BR"/>
        </w:rPr>
        <w:t xml:space="preserve"> $partesPoloAtivo e </w:t>
      </w:r>
      <w:r w:rsidRPr="005F0DA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5F0DAA">
        <w:rPr>
          <w:rFonts w:ascii="Arial" w:eastAsia="Times New Roman" w:hAnsi="Arial" w:cs="Arial"/>
          <w:sz w:val="18"/>
          <w:szCs w:val="18"/>
          <w:lang w:eastAsia="pt-BR"/>
        </w:rPr>
        <w:t xml:space="preserve"> $partesPoloPassivo</w:t>
      </w:r>
    </w:p>
    <w:p w14:paraId="687A8652" w14:textId="77777777" w:rsidR="004B34F3" w:rsidRPr="003530DA" w:rsidRDefault="004B34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7FF1FF" w14:textId="77777777" w:rsidR="004B34F3" w:rsidRPr="005F0DAA" w:rsidRDefault="00E80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F0DA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5F0DA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5F0DAA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2A73A74B" w14:textId="77777777" w:rsidR="004B34F3" w:rsidRPr="003530DA" w:rsidRDefault="004B34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1E5B20D" w14:textId="77777777" w:rsidR="004B34F3" w:rsidRDefault="00E80B26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PROCEDER à: </w:t>
      </w:r>
    </w:p>
    <w:p w14:paraId="53EC7357" w14:textId="77777777" w:rsidR="004B34F3" w:rsidRDefault="00E80B26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>
        <w:rPr>
          <w:rFonts w:eastAsia="Arial" w:cs="Arial"/>
          <w:b/>
          <w:bCs/>
          <w:sz w:val="18"/>
          <w:szCs w:val="18"/>
          <w:u w:val="single"/>
          <w:lang w:eastAsia="pt-BR"/>
        </w:rPr>
        <w:t>INTIMAÇÃO</w:t>
      </w:r>
      <w:r>
        <w:rPr>
          <w:rFonts w:eastAsia="Arial" w:cs="Arial"/>
          <w:b/>
          <w:bCs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>sobre:</w:t>
      </w:r>
    </w:p>
    <w:p w14:paraId="3111A98C" w14:textId="72E8456C" w:rsidR="004B34F3" w:rsidRDefault="00E80B26">
      <w:pPr>
        <w:pStyle w:val="SemEspaamento"/>
        <w:rPr>
          <w:rFonts w:eastAsia="Times New Roman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1.1.</w:t>
      </w:r>
      <w:r>
        <w:rPr>
          <w:rFonts w:eastAsia="Times New Roman" w:cs="Arial"/>
          <w:sz w:val="18"/>
          <w:szCs w:val="18"/>
        </w:rPr>
        <w:t xml:space="preserve"> O conteúdo da </w:t>
      </w:r>
      <w:r>
        <w:rPr>
          <w:rFonts w:eastAsia="Times New Roman" w:cs="Arial"/>
          <w:b/>
          <w:bCs/>
          <w:sz w:val="18"/>
          <w:szCs w:val="18"/>
        </w:rPr>
        <w:t>sentença</w:t>
      </w:r>
      <w:r>
        <w:rPr>
          <w:rFonts w:eastAsia="Times New Roman" w:cs="Arial"/>
          <w:sz w:val="18"/>
          <w:szCs w:val="18"/>
        </w:rPr>
        <w:t xml:space="preserve"> (em anexo) </w:t>
      </w:r>
      <w:r w:rsidR="005F0DAA">
        <w:rPr>
          <w:rFonts w:eastAsia="Times New Roman" w:cs="Arial"/>
          <w:sz w:val="18"/>
          <w:szCs w:val="18"/>
        </w:rPr>
        <w:t>dada pelo(a) Juiz(a) n</w:t>
      </w:r>
      <w:r>
        <w:rPr>
          <w:rFonts w:eastAsia="Times New Roman" w:cs="Arial"/>
          <w:sz w:val="18"/>
          <w:szCs w:val="18"/>
        </w:rPr>
        <w:t>o processo acima indicado;</w:t>
      </w:r>
    </w:p>
    <w:p w14:paraId="0DA22AA4" w14:textId="5C6B8442" w:rsidR="004B34F3" w:rsidRDefault="00E80B26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1.2.</w:t>
      </w:r>
      <w:r>
        <w:rPr>
          <w:rFonts w:ascii="Arial" w:hAnsi="Arial" w:cs="Arial"/>
          <w:sz w:val="18"/>
          <w:szCs w:val="18"/>
        </w:rPr>
        <w:t xml:space="preserve"> A possibilidade de recorrer, no </w:t>
      </w:r>
      <w:r>
        <w:rPr>
          <w:rFonts w:ascii="Arial" w:hAnsi="Arial" w:cs="Arial"/>
          <w:b/>
          <w:bCs/>
          <w:sz w:val="18"/>
          <w:szCs w:val="18"/>
        </w:rPr>
        <w:t>prazo de 10 (dez) dias úteis</w:t>
      </w:r>
      <w:r>
        <w:rPr>
          <w:rFonts w:ascii="Arial" w:hAnsi="Arial" w:cs="Arial"/>
          <w:sz w:val="18"/>
          <w:szCs w:val="18"/>
        </w:rPr>
        <w:t>, a contar da data de recebimento desta intimação</w:t>
      </w:r>
      <w:r w:rsidR="005F0DAA">
        <w:rPr>
          <w:rFonts w:ascii="Arial" w:hAnsi="Arial" w:cs="Arial"/>
          <w:sz w:val="18"/>
          <w:szCs w:val="18"/>
        </w:rPr>
        <w:t xml:space="preserve"> </w:t>
      </w:r>
      <w:r w:rsidR="005F0DAA" w:rsidRPr="005F0DAA">
        <w:rPr>
          <w:rFonts w:ascii="Arial" w:hAnsi="Arial" w:cs="Arial"/>
          <w:sz w:val="18"/>
          <w:szCs w:val="18"/>
        </w:rPr>
        <w:t>(Enunciado 13, Fonaje Cível)</w:t>
      </w:r>
      <w:r>
        <w:rPr>
          <w:rFonts w:ascii="Arial" w:hAnsi="Arial" w:cs="Arial"/>
          <w:sz w:val="18"/>
          <w:szCs w:val="18"/>
        </w:rPr>
        <w:t>, por meio de advogado(a) e efetuando o pagamento das custas recursais, exceto nos casos de Gratuidade da Justiça (arts. 41 e 42, Lei nº 9.099/1995; Lei nº 18.413/2014).</w:t>
      </w:r>
    </w:p>
    <w:p w14:paraId="214A93B2" w14:textId="77777777" w:rsidR="004B34F3" w:rsidRDefault="004B34F3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510DD65" w14:textId="77777777" w:rsidR="004B34F3" w:rsidRDefault="00E80B26">
      <w:pPr>
        <w:pStyle w:val="SemEspaamento"/>
        <w:rPr>
          <w:sz w:val="18"/>
          <w:szCs w:val="18"/>
        </w:rPr>
      </w:pPr>
      <w:r>
        <w:rPr>
          <w:b/>
          <w:sz w:val="18"/>
          <w:szCs w:val="18"/>
          <w:lang w:eastAsia="pt-BR"/>
        </w:rPr>
        <w:t xml:space="preserve">2. </w:t>
      </w:r>
      <w:r>
        <w:rPr>
          <w:b/>
          <w:sz w:val="18"/>
          <w:szCs w:val="18"/>
          <w:u w:val="single"/>
        </w:rPr>
        <w:t>INTIMAÇÃO</w:t>
      </w:r>
      <w:r>
        <w:rPr>
          <w:sz w:val="18"/>
          <w:szCs w:val="18"/>
        </w:rPr>
        <w:t xml:space="preserve"> de que o </w:t>
      </w:r>
      <w:r w:rsidRPr="003530DA">
        <w:rPr>
          <w:b/>
          <w:sz w:val="18"/>
          <w:szCs w:val="18"/>
        </w:rPr>
        <w:t>cumprimento da sentença</w:t>
      </w:r>
      <w:r>
        <w:rPr>
          <w:sz w:val="18"/>
          <w:szCs w:val="18"/>
        </w:rPr>
        <w:t xml:space="preserve"> apenas terá início após o trânsito em julgado da sentença (ou seja, quando não houver mais recurso pendente de julgamento e a sentença não puder mais ser alterada) e solicitação formal da parte autora vencedora</w:t>
      </w:r>
      <w:r>
        <w:rPr>
          <w:rStyle w:val="FootnoteAnchor"/>
          <w:sz w:val="18"/>
          <w:szCs w:val="18"/>
        </w:rPr>
        <w:footnoteReference w:id="1"/>
      </w:r>
      <w:r>
        <w:rPr>
          <w:sz w:val="18"/>
          <w:szCs w:val="18"/>
        </w:rPr>
        <w:t>.</w:t>
      </w:r>
    </w:p>
    <w:p w14:paraId="330A3B57" w14:textId="5A721BB3" w:rsidR="004B34F3" w:rsidRDefault="00E80B26">
      <w:pPr>
        <w:pStyle w:val="SemEspaamento"/>
        <w:rPr>
          <w:sz w:val="18"/>
          <w:szCs w:val="18"/>
        </w:rPr>
      </w:pPr>
      <w:r>
        <w:rPr>
          <w:b/>
          <w:bCs/>
          <w:sz w:val="18"/>
          <w:szCs w:val="18"/>
        </w:rPr>
        <w:t>2.1.</w:t>
      </w:r>
      <w:r>
        <w:rPr>
          <w:sz w:val="18"/>
          <w:szCs w:val="18"/>
        </w:rPr>
        <w:t xml:space="preserve"> Após o trânsito em julgado da sentença, o processo aguardará a manifestação sobre o interesse no início de sua execução pelo </w:t>
      </w:r>
      <w:r>
        <w:rPr>
          <w:b/>
          <w:bCs/>
          <w:sz w:val="18"/>
          <w:szCs w:val="18"/>
        </w:rPr>
        <w:t>prazo de 30 (trinta) dias.</w:t>
      </w:r>
      <w:r>
        <w:rPr>
          <w:sz w:val="18"/>
          <w:szCs w:val="18"/>
        </w:rPr>
        <w:t xml:space="preserve"> Não havendo requerimento nesse prazo, o processo será arquivado</w:t>
      </w:r>
      <w:bookmarkStart w:id="1" w:name="_Hlk126166049"/>
      <w:r>
        <w:rPr>
          <w:sz w:val="18"/>
          <w:szCs w:val="18"/>
        </w:rPr>
        <w:t xml:space="preserve">, sendo possível o posterior desarquivamento caso haja manifestação do(a) credor(a) (art. 478, </w:t>
      </w:r>
      <w:r w:rsidR="005F0DAA" w:rsidRPr="00573101">
        <w:rPr>
          <w:rFonts w:eastAsia="Arial" w:cs="Arial"/>
          <w:sz w:val="18"/>
          <w:szCs w:val="18"/>
        </w:rPr>
        <w:t>Código de Normas do Foro Judicial do TJPR – Provimento nº 316/2022</w:t>
      </w:r>
      <w:r>
        <w:rPr>
          <w:sz w:val="18"/>
          <w:szCs w:val="18"/>
        </w:rPr>
        <w:t>)</w:t>
      </w:r>
      <w:bookmarkEnd w:id="1"/>
      <w:r>
        <w:rPr>
          <w:sz w:val="18"/>
          <w:szCs w:val="18"/>
        </w:rPr>
        <w:t>.</w:t>
      </w:r>
    </w:p>
    <w:p w14:paraId="2A9355AB" w14:textId="77777777" w:rsidR="004B34F3" w:rsidRDefault="004B34F3">
      <w:pPr>
        <w:pStyle w:val="SemEspaamento"/>
        <w:rPr>
          <w:sz w:val="18"/>
          <w:szCs w:val="18"/>
        </w:rPr>
      </w:pPr>
    </w:p>
    <w:p w14:paraId="714A4B86" w14:textId="77777777" w:rsidR="004B34F3" w:rsidRDefault="00E80B26">
      <w:pPr>
        <w:pStyle w:val="SemEspaamento"/>
        <w:rPr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>
        <w:rPr>
          <w:b/>
          <w:sz w:val="18"/>
          <w:szCs w:val="18"/>
          <w:u w:val="single"/>
        </w:rPr>
        <w:t>ADVERTÊNCIA</w:t>
      </w:r>
      <w:r>
        <w:rPr>
          <w:sz w:val="18"/>
          <w:szCs w:val="18"/>
        </w:rPr>
        <w:t xml:space="preserve"> de que, em se tratando de condenação de pagar quantia certa, na solicitação de cumprimento de sentença:</w:t>
      </w:r>
    </w:p>
    <w:p w14:paraId="4A403BAE" w14:textId="77777777" w:rsidR="004B34F3" w:rsidRDefault="00E80B26">
      <w:pPr>
        <w:pStyle w:val="SemEspaamento"/>
        <w:rPr>
          <w:sz w:val="18"/>
          <w:szCs w:val="18"/>
        </w:rPr>
      </w:pPr>
      <w:r>
        <w:rPr>
          <w:b/>
          <w:bCs/>
          <w:sz w:val="18"/>
          <w:szCs w:val="18"/>
        </w:rPr>
        <w:t>3.1.</w:t>
      </w:r>
      <w:r>
        <w:rPr>
          <w:sz w:val="18"/>
          <w:szCs w:val="18"/>
        </w:rPr>
        <w:t xml:space="preserve"> Deverá solicitar a expedição da requisição de </w:t>
      </w:r>
      <w:r w:rsidRPr="003530DA">
        <w:rPr>
          <w:sz w:val="18"/>
          <w:szCs w:val="18"/>
          <w:u w:val="single"/>
        </w:rPr>
        <w:t>Obrigação de Pequeno Valor (OPV)</w:t>
      </w:r>
      <w:bookmarkStart w:id="2" w:name="_Hlk126166208"/>
      <w:bookmarkEnd w:id="2"/>
      <w:r>
        <w:rPr>
          <w:rStyle w:val="FootnoteAnchor"/>
          <w:sz w:val="18"/>
          <w:szCs w:val="18"/>
        </w:rPr>
        <w:footnoteReference w:id="2"/>
      </w:r>
      <w:r>
        <w:rPr>
          <w:sz w:val="18"/>
          <w:szCs w:val="18"/>
        </w:rPr>
        <w:t xml:space="preserve"> ou </w:t>
      </w:r>
      <w:r w:rsidRPr="003530DA">
        <w:rPr>
          <w:sz w:val="18"/>
          <w:szCs w:val="18"/>
          <w:u w:val="single"/>
        </w:rPr>
        <w:t>Precatório</w:t>
      </w:r>
      <w:r>
        <w:rPr>
          <w:rStyle w:val="FootnoteAnchor"/>
          <w:sz w:val="18"/>
          <w:szCs w:val="18"/>
        </w:rPr>
        <w:footnoteReference w:id="3"/>
      </w:r>
      <w:r>
        <w:rPr>
          <w:sz w:val="18"/>
          <w:szCs w:val="18"/>
        </w:rPr>
        <w:t xml:space="preserve">, dependendo do valor da condenação individualizado por </w:t>
      </w:r>
      <w:r>
        <w:rPr>
          <w:rFonts w:cs="Arial"/>
          <w:sz w:val="18"/>
          <w:szCs w:val="18"/>
        </w:rPr>
        <w:t>credor beneficiário</w:t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</w:rPr>
        <w:t>e natureza</w:t>
      </w:r>
      <w:r>
        <w:rPr>
          <w:rStyle w:val="FootnoteAnchor"/>
          <w:sz w:val="18"/>
          <w:szCs w:val="18"/>
        </w:rPr>
        <w:footnoteReference w:id="4"/>
      </w:r>
      <w:r>
        <w:rPr>
          <w:sz w:val="18"/>
          <w:szCs w:val="18"/>
        </w:rPr>
        <w:t>;</w:t>
      </w:r>
    </w:p>
    <w:p w14:paraId="1D3E608C" w14:textId="77777777" w:rsidR="004B34F3" w:rsidRDefault="00E80B26">
      <w:pPr>
        <w:pStyle w:val="SemEspaamento"/>
        <w:rPr>
          <w:sz w:val="18"/>
          <w:szCs w:val="18"/>
        </w:rPr>
      </w:pPr>
      <w:r>
        <w:rPr>
          <w:b/>
          <w:bCs/>
          <w:sz w:val="18"/>
          <w:szCs w:val="18"/>
        </w:rPr>
        <w:t>3.2.</w:t>
      </w:r>
      <w:r>
        <w:rPr>
          <w:sz w:val="18"/>
          <w:szCs w:val="18"/>
        </w:rPr>
        <w:t xml:space="preserve"> Deverá instruir o requerimento com cálculo demonstrativo discriminado e atualizado do crédito</w:t>
      </w:r>
      <w:r>
        <w:rPr>
          <w:rStyle w:val="FootnoteAnchor"/>
          <w:sz w:val="18"/>
          <w:szCs w:val="18"/>
        </w:rPr>
        <w:footnoteReference w:id="5"/>
      </w:r>
      <w:r>
        <w:rPr>
          <w:sz w:val="18"/>
          <w:szCs w:val="18"/>
        </w:rPr>
        <w:t>, respeitados os índices estabelecidos em sentença, bem como especificados eventuais descontos obrigatórios (retenções de contribuição previdenciária e de imposto de renda) (art. 534, CPC);</w:t>
      </w:r>
    </w:p>
    <w:p w14:paraId="7D0AA8A2" w14:textId="77777777" w:rsidR="004B34F3" w:rsidRDefault="00E80B26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  <w:r>
        <w:rPr>
          <w:b/>
          <w:bCs/>
          <w:sz w:val="18"/>
          <w:szCs w:val="18"/>
        </w:rPr>
        <w:t>3.3.</w:t>
      </w:r>
      <w:r>
        <w:rPr>
          <w:sz w:val="18"/>
          <w:szCs w:val="18"/>
        </w:rPr>
        <w:t xml:space="preserve"> Poderá renunciar ao crédito que exceder ao limite de pagamento por meio de OPV, de forma expressa, com a finalidade de enquadramento no limite da requisição de pequeno valor (art. 2º, § 1º, Decreto Judiciário nº 382/2020 do TJPR).</w:t>
      </w:r>
    </w:p>
    <w:p w14:paraId="1CF43D86" w14:textId="77777777" w:rsidR="004B34F3" w:rsidRDefault="004B34F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60E8FC18" w14:textId="77777777" w:rsidR="004B34F3" w:rsidRDefault="00E80B26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651C0A52" w14:textId="77777777" w:rsidR="004B34F3" w:rsidRDefault="00E80B2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$chaveAcessoProcesso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7FC4D150" w14:textId="77777777" w:rsidR="004B34F3" w:rsidRDefault="004B34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154524C" w14:textId="77777777" w:rsidR="005F0DAA" w:rsidRPr="003530DA" w:rsidRDefault="005F0DAA" w:rsidP="003530DA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3530D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3530DA">
        <w:rPr>
          <w:rFonts w:ascii="Arial" w:eastAsia="Arial" w:hAnsi="Arial" w:cs="Arial"/>
          <w:bCs/>
          <w:sz w:val="18"/>
          <w:szCs w:val="18"/>
        </w:rPr>
        <w:t xml:space="preserve"> É preciso comunicar à Secretaria do Juizado as mudanças de endereço ocorridas durante o processo. Caso contrário, as intimações enviadas ao endereço antigo, informado no processo, serão consideradas válidas (art. 19, § 2º, Lei nº 9.099/1995).</w:t>
      </w:r>
    </w:p>
    <w:p w14:paraId="5AE6166F" w14:textId="77777777" w:rsidR="005F0DAA" w:rsidRPr="003530DA" w:rsidRDefault="005F0DAA" w:rsidP="003530DA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</w:p>
    <w:p w14:paraId="01A47F1F" w14:textId="424BEDF5" w:rsidR="004B34F3" w:rsidRDefault="005F0DAA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3530DA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3530DA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3530DA">
        <w:rPr>
          <w:rFonts w:ascii="Arial" w:eastAsia="Arial" w:hAnsi="Arial" w:cs="Arial"/>
          <w:b/>
          <w:bCs/>
          <w:sz w:val="18"/>
          <w:szCs w:val="18"/>
        </w:rPr>
        <w:t>a)</w:t>
      </w:r>
      <w:r w:rsidRPr="003530DA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3530DA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3530DA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3530DA">
        <w:rPr>
          <w:rFonts w:ascii="Arial" w:eastAsia="Arial" w:hAnsi="Arial" w:cs="Arial"/>
          <w:b/>
          <w:bCs/>
          <w:sz w:val="18"/>
          <w:szCs w:val="18"/>
        </w:rPr>
        <w:t>b)</w:t>
      </w:r>
      <w:r w:rsidRPr="003530DA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3530DA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3530DA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3530DA">
        <w:rPr>
          <w:rFonts w:ascii="Arial" w:eastAsia="Arial" w:hAnsi="Arial" w:cs="Arial"/>
          <w:b/>
          <w:bCs/>
          <w:sz w:val="18"/>
          <w:szCs w:val="18"/>
        </w:rPr>
        <w:t>c)</w:t>
      </w:r>
      <w:r w:rsidRPr="003530DA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3530DA">
        <w:rPr>
          <w:rFonts w:ascii="Arial" w:eastAsia="Arial" w:hAnsi="Arial" w:cs="Arial"/>
          <w:b/>
          <w:bCs/>
          <w:sz w:val="18"/>
          <w:szCs w:val="18"/>
        </w:rPr>
        <w:t>d)</w:t>
      </w:r>
      <w:r w:rsidRPr="003530DA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4B34F3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ADB5" w14:textId="77777777" w:rsidR="0064104B" w:rsidRDefault="00E80B26">
      <w:pPr>
        <w:spacing w:after="0" w:line="240" w:lineRule="auto"/>
      </w:pPr>
      <w:r>
        <w:separator/>
      </w:r>
    </w:p>
  </w:endnote>
  <w:endnote w:type="continuationSeparator" w:id="0">
    <w:p w14:paraId="5230F277" w14:textId="77777777" w:rsidR="0064104B" w:rsidRDefault="00E8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D6DC" w14:textId="77777777" w:rsidR="004B34F3" w:rsidRDefault="00E80B26">
      <w:pPr>
        <w:rPr>
          <w:sz w:val="12"/>
        </w:rPr>
      </w:pPr>
      <w:r>
        <w:separator/>
      </w:r>
    </w:p>
  </w:footnote>
  <w:footnote w:type="continuationSeparator" w:id="0">
    <w:p w14:paraId="780FB4EB" w14:textId="77777777" w:rsidR="004B34F3" w:rsidRDefault="00E80B26">
      <w:pPr>
        <w:rPr>
          <w:sz w:val="12"/>
        </w:rPr>
      </w:pPr>
      <w:r>
        <w:continuationSeparator/>
      </w:r>
    </w:p>
  </w:footnote>
  <w:footnote w:id="1">
    <w:p w14:paraId="4D4E3CA7" w14:textId="430E18B5" w:rsidR="004B34F3" w:rsidRDefault="00E80B26">
      <w:pPr>
        <w:pStyle w:val="Textodenotaderodap"/>
        <w:jc w:val="both"/>
      </w:pPr>
      <w:r w:rsidRPr="003530DA">
        <w:rPr>
          <w:rStyle w:val="FootnoteCharacters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5F0DAA" w:rsidRPr="0068117D">
        <w:rPr>
          <w:rFonts w:ascii="Arial" w:hAnsi="Arial" w:cs="Arial"/>
          <w:sz w:val="14"/>
          <w:szCs w:val="14"/>
        </w:rPr>
        <w:t>Código de Normas do Foro Judicial do TJPR (Provimento nº 316/2022):</w:t>
      </w:r>
      <w:r w:rsidR="005F0DAA" w:rsidRPr="00A0615E">
        <w:rPr>
          <w:rFonts w:ascii="Arial" w:hAnsi="Arial" w:cs="Arial"/>
          <w:sz w:val="14"/>
          <w:szCs w:val="14"/>
        </w:rPr>
        <w:t xml:space="preserve"> “Art. 477. [...] Parágrafo único. Nos processos que a parte autora for vencedora, ainda que parcialmente, e litigar desacompanhada de advogado(a), será ela esclarecida, via intimação, de que, querendo, deverá solicitar formalmente a execução da sentença,</w:t>
      </w:r>
      <w:r w:rsidR="005F0DAA">
        <w:rPr>
          <w:rFonts w:ascii="Arial" w:hAnsi="Arial" w:cs="Arial"/>
          <w:sz w:val="14"/>
          <w:szCs w:val="14"/>
        </w:rPr>
        <w:t xml:space="preserve"> </w:t>
      </w:r>
      <w:r w:rsidR="005F0DAA" w:rsidRPr="00A0615E">
        <w:rPr>
          <w:rFonts w:ascii="Arial" w:hAnsi="Arial" w:cs="Arial"/>
          <w:sz w:val="14"/>
          <w:szCs w:val="14"/>
        </w:rPr>
        <w:t>sendo de seu interesse.</w:t>
      </w:r>
      <w:r w:rsidR="005F0DAA">
        <w:rPr>
          <w:rFonts w:ascii="Arial" w:hAnsi="Arial" w:cs="Arial"/>
          <w:sz w:val="14"/>
          <w:szCs w:val="14"/>
        </w:rPr>
        <w:t>”.</w:t>
      </w:r>
    </w:p>
  </w:footnote>
  <w:footnote w:id="2">
    <w:p w14:paraId="4D79BCD7" w14:textId="73D2B278" w:rsidR="004B34F3" w:rsidRDefault="00E80B2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530DA">
        <w:rPr>
          <w:rStyle w:val="FootnoteCharacters"/>
          <w:rFonts w:ascii="Arial" w:hAnsi="Arial" w:cs="Arial"/>
          <w:sz w:val="14"/>
          <w:szCs w:val="14"/>
        </w:rPr>
        <w:footnoteRef/>
      </w:r>
      <w:r w:rsidRPr="00F778B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Decreto Judiciário nº 382/2020 do TJPR</w:t>
      </w:r>
      <w:r w:rsidR="005F0DAA">
        <w:rPr>
          <w:rFonts w:ascii="Arial" w:hAnsi="Arial" w:cs="Arial"/>
          <w:sz w:val="14"/>
          <w:szCs w:val="14"/>
        </w:rPr>
        <w:t>.</w:t>
      </w:r>
    </w:p>
  </w:footnote>
  <w:footnote w:id="3">
    <w:p w14:paraId="524E6CB4" w14:textId="0B608F33" w:rsidR="004B34F3" w:rsidRDefault="00E80B26">
      <w:pPr>
        <w:pStyle w:val="Textodenotaderodap"/>
      </w:pPr>
      <w:r w:rsidRPr="003530DA">
        <w:rPr>
          <w:rStyle w:val="FootnoteCharacters"/>
          <w:rFonts w:ascii="Arial" w:hAnsi="Arial" w:cs="Arial"/>
          <w:sz w:val="14"/>
          <w:szCs w:val="14"/>
        </w:rPr>
        <w:footnoteRef/>
      </w:r>
      <w:r w:rsidRPr="00F778B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Decreto Judiciário nº </w:t>
      </w:r>
      <w:r w:rsidR="00216729">
        <w:rPr>
          <w:rFonts w:ascii="Arial" w:hAnsi="Arial" w:cs="Arial"/>
          <w:sz w:val="14"/>
          <w:szCs w:val="14"/>
        </w:rPr>
        <w:t>86/2024</w:t>
      </w:r>
      <w:r>
        <w:rPr>
          <w:rFonts w:ascii="Arial" w:hAnsi="Arial" w:cs="Arial"/>
          <w:sz w:val="14"/>
          <w:szCs w:val="14"/>
        </w:rPr>
        <w:t xml:space="preserve"> do TJPR</w:t>
      </w:r>
      <w:r w:rsidR="005F0DAA">
        <w:rPr>
          <w:rFonts w:ascii="Arial" w:hAnsi="Arial" w:cs="Arial"/>
          <w:sz w:val="14"/>
          <w:szCs w:val="14"/>
        </w:rPr>
        <w:t>.</w:t>
      </w:r>
    </w:p>
  </w:footnote>
  <w:footnote w:id="4">
    <w:p w14:paraId="25AD251C" w14:textId="47A9B444" w:rsidR="004B34F3" w:rsidRDefault="00E80B2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530DA">
        <w:rPr>
          <w:rStyle w:val="FootnoteCharacters"/>
          <w:rFonts w:ascii="Arial" w:hAnsi="Arial" w:cs="Arial"/>
          <w:sz w:val="14"/>
          <w:szCs w:val="14"/>
        </w:rPr>
        <w:footnoteRef/>
      </w:r>
      <w:r w:rsidRPr="00F778BE">
        <w:rPr>
          <w:rFonts w:ascii="Arial" w:hAnsi="Arial" w:cs="Arial"/>
          <w:sz w:val="14"/>
          <w:szCs w:val="14"/>
        </w:rPr>
        <w:t xml:space="preserve"> </w:t>
      </w:r>
      <w:r w:rsidR="006B5A26">
        <w:rPr>
          <w:rFonts w:ascii="Arial" w:hAnsi="Arial" w:cs="Arial"/>
          <w:sz w:val="14"/>
          <w:szCs w:val="14"/>
        </w:rPr>
        <w:t xml:space="preserve">O valor considerado como </w:t>
      </w:r>
      <w:r w:rsidR="006B5A26">
        <w:rPr>
          <w:rFonts w:ascii="Arial" w:hAnsi="Arial" w:cs="Arial"/>
          <w:i/>
          <w:sz w:val="14"/>
          <w:szCs w:val="14"/>
        </w:rPr>
        <w:t>pequeno valor</w:t>
      </w:r>
      <w:r w:rsidR="006B5A26">
        <w:rPr>
          <w:rFonts w:ascii="Arial" w:hAnsi="Arial" w:cs="Arial"/>
          <w:sz w:val="14"/>
          <w:szCs w:val="14"/>
        </w:rPr>
        <w:t>,</w:t>
      </w:r>
      <w:r w:rsidR="006B5A26">
        <w:rPr>
          <w:rFonts w:ascii="Arial" w:hAnsi="Arial" w:cs="Arial"/>
          <w:i/>
          <w:sz w:val="14"/>
          <w:szCs w:val="14"/>
        </w:rPr>
        <w:t xml:space="preserve"> </w:t>
      </w:r>
      <w:r w:rsidR="006B5A26">
        <w:rPr>
          <w:rFonts w:ascii="Arial" w:hAnsi="Arial" w:cs="Arial"/>
          <w:sz w:val="14"/>
          <w:szCs w:val="14"/>
        </w:rPr>
        <w:t>c</w:t>
      </w:r>
      <w:r w:rsidR="006B5A26" w:rsidRPr="0003034D">
        <w:rPr>
          <w:rFonts w:ascii="Arial" w:hAnsi="Arial" w:cs="Arial"/>
          <w:sz w:val="14"/>
          <w:szCs w:val="14"/>
        </w:rPr>
        <w:t xml:space="preserve">aso o ente condenado seja o </w:t>
      </w:r>
      <w:r w:rsidR="006B5A26" w:rsidRPr="001866BD">
        <w:rPr>
          <w:rFonts w:ascii="Arial" w:hAnsi="Arial" w:cs="Arial"/>
          <w:sz w:val="14"/>
          <w:szCs w:val="14"/>
          <w:u w:val="single"/>
        </w:rPr>
        <w:t>Estado do Paraná, suas autarquias ou fundações</w:t>
      </w:r>
      <w:r w:rsidR="006B5A26">
        <w:rPr>
          <w:rFonts w:ascii="Arial" w:hAnsi="Arial" w:cs="Arial"/>
          <w:sz w:val="14"/>
          <w:szCs w:val="14"/>
        </w:rPr>
        <w:t>,</w:t>
      </w:r>
      <w:r w:rsidR="006B5A26" w:rsidRPr="0003034D">
        <w:rPr>
          <w:rFonts w:ascii="Arial" w:hAnsi="Arial" w:cs="Arial"/>
          <w:sz w:val="14"/>
          <w:szCs w:val="14"/>
        </w:rPr>
        <w:t xml:space="preserve"> </w:t>
      </w:r>
      <w:r w:rsidR="006B5A26">
        <w:rPr>
          <w:rFonts w:ascii="Arial" w:hAnsi="Arial" w:cs="Arial"/>
          <w:sz w:val="14"/>
          <w:szCs w:val="14"/>
        </w:rPr>
        <w:t>segue o disposto</w:t>
      </w:r>
      <w:r w:rsidR="006B5A26" w:rsidRPr="0003034D">
        <w:rPr>
          <w:rFonts w:ascii="Arial" w:hAnsi="Arial" w:cs="Arial"/>
          <w:sz w:val="14"/>
          <w:szCs w:val="14"/>
        </w:rPr>
        <w:t xml:space="preserve"> </w:t>
      </w:r>
      <w:r w:rsidR="006B5A26">
        <w:rPr>
          <w:rFonts w:ascii="Arial" w:hAnsi="Arial" w:cs="Arial"/>
          <w:sz w:val="14"/>
          <w:szCs w:val="14"/>
        </w:rPr>
        <w:t>n</w:t>
      </w:r>
      <w:r w:rsidR="006B5A26" w:rsidRPr="0003034D">
        <w:rPr>
          <w:rFonts w:ascii="Arial" w:hAnsi="Arial" w:cs="Arial"/>
          <w:sz w:val="14"/>
          <w:szCs w:val="14"/>
        </w:rPr>
        <w:t>a Lei Estadual nº 18.664/2015</w:t>
      </w:r>
      <w:r w:rsidR="006B5A26">
        <w:rPr>
          <w:rFonts w:ascii="Arial" w:hAnsi="Arial" w:cs="Arial"/>
          <w:sz w:val="14"/>
          <w:szCs w:val="14"/>
        </w:rPr>
        <w:t xml:space="preserve"> e nas Resoluções da </w:t>
      </w:r>
      <w:r w:rsidR="006B5A26" w:rsidRPr="00F72366">
        <w:rPr>
          <w:rFonts w:ascii="Arial" w:hAnsi="Arial" w:cs="Arial"/>
          <w:sz w:val="14"/>
          <w:szCs w:val="14"/>
        </w:rPr>
        <w:t xml:space="preserve">Secretaria de Estado da Fazenda do Paraná </w:t>
      </w:r>
      <w:r w:rsidR="006B5A26">
        <w:rPr>
          <w:rFonts w:ascii="Arial" w:hAnsi="Arial" w:cs="Arial"/>
          <w:sz w:val="14"/>
          <w:szCs w:val="14"/>
        </w:rPr>
        <w:t xml:space="preserve">– SEFA </w:t>
      </w:r>
      <w:r w:rsidR="006B5A26" w:rsidRPr="00F72366">
        <w:rPr>
          <w:rFonts w:ascii="Arial" w:hAnsi="Arial" w:cs="Arial"/>
          <w:sz w:val="14"/>
          <w:szCs w:val="14"/>
        </w:rPr>
        <w:t>(</w:t>
      </w:r>
      <w:hyperlink r:id="rId1" w:history="1">
        <w:r w:rsidR="006B5A26" w:rsidRPr="00F72366">
          <w:rPr>
            <w:rStyle w:val="Hyperlink"/>
            <w:rFonts w:ascii="Arial" w:hAnsi="Arial" w:cs="Arial"/>
            <w:sz w:val="14"/>
            <w:szCs w:val="14"/>
          </w:rPr>
          <w:t>https://www.fazenda.pr.gov.br/Pagina/Requisicao-de-Pequeno-Valor-0</w:t>
        </w:r>
      </w:hyperlink>
      <w:r w:rsidR="006B5A26" w:rsidRPr="00F72366">
        <w:rPr>
          <w:rFonts w:ascii="Arial" w:hAnsi="Arial" w:cs="Arial"/>
          <w:sz w:val="14"/>
          <w:szCs w:val="14"/>
        </w:rPr>
        <w:t>)</w:t>
      </w:r>
      <w:r w:rsidR="006B5A26">
        <w:rPr>
          <w:rFonts w:ascii="Arial" w:hAnsi="Arial" w:cs="Arial"/>
          <w:sz w:val="14"/>
          <w:szCs w:val="14"/>
        </w:rPr>
        <w:t xml:space="preserve">; o valor considerado como </w:t>
      </w:r>
      <w:r w:rsidR="006B5A26" w:rsidRPr="0003034D">
        <w:rPr>
          <w:rFonts w:ascii="Arial" w:hAnsi="Arial" w:cs="Arial"/>
          <w:i/>
          <w:sz w:val="14"/>
          <w:szCs w:val="14"/>
        </w:rPr>
        <w:t>pequeno valor</w:t>
      </w:r>
      <w:r w:rsidR="006B5A26">
        <w:rPr>
          <w:rFonts w:ascii="Arial" w:hAnsi="Arial" w:cs="Arial"/>
          <w:sz w:val="14"/>
          <w:szCs w:val="14"/>
        </w:rPr>
        <w:t>,</w:t>
      </w:r>
      <w:r w:rsidR="006B5A26" w:rsidRPr="0003034D">
        <w:rPr>
          <w:rFonts w:ascii="Arial" w:hAnsi="Arial" w:cs="Arial"/>
          <w:sz w:val="14"/>
          <w:szCs w:val="14"/>
        </w:rPr>
        <w:t xml:space="preserve"> </w:t>
      </w:r>
      <w:r w:rsidR="006B5A26">
        <w:rPr>
          <w:rFonts w:ascii="Arial" w:hAnsi="Arial" w:cs="Arial"/>
          <w:sz w:val="14"/>
          <w:szCs w:val="14"/>
        </w:rPr>
        <w:t>c</w:t>
      </w:r>
      <w:r w:rsidR="006B5A26" w:rsidRPr="0003034D">
        <w:rPr>
          <w:rFonts w:ascii="Arial" w:hAnsi="Arial" w:cs="Arial"/>
          <w:sz w:val="14"/>
          <w:szCs w:val="14"/>
        </w:rPr>
        <w:t xml:space="preserve">aso o ente condenado seja um </w:t>
      </w:r>
      <w:r w:rsidR="006B5A26" w:rsidRPr="001866BD">
        <w:rPr>
          <w:rFonts w:ascii="Arial" w:hAnsi="Arial" w:cs="Arial"/>
          <w:sz w:val="14"/>
          <w:szCs w:val="14"/>
          <w:u w:val="single"/>
        </w:rPr>
        <w:t>Município</w:t>
      </w:r>
      <w:r w:rsidR="006B5A26">
        <w:rPr>
          <w:rFonts w:ascii="Arial" w:hAnsi="Arial" w:cs="Arial"/>
          <w:sz w:val="14"/>
          <w:szCs w:val="14"/>
        </w:rPr>
        <w:t>,</w:t>
      </w:r>
      <w:r w:rsidR="006B5A26" w:rsidRPr="0003034D">
        <w:rPr>
          <w:rFonts w:ascii="Arial" w:hAnsi="Arial" w:cs="Arial"/>
          <w:sz w:val="14"/>
          <w:szCs w:val="14"/>
        </w:rPr>
        <w:t xml:space="preserve"> deverá </w:t>
      </w:r>
      <w:r w:rsidR="006B5A26">
        <w:rPr>
          <w:rFonts w:ascii="Arial" w:hAnsi="Arial" w:cs="Arial"/>
          <w:sz w:val="14"/>
          <w:szCs w:val="14"/>
        </w:rPr>
        <w:t>ser consultado na</w:t>
      </w:r>
      <w:r w:rsidR="006B5A26" w:rsidRPr="0003034D">
        <w:rPr>
          <w:rFonts w:ascii="Arial" w:hAnsi="Arial" w:cs="Arial"/>
          <w:sz w:val="14"/>
          <w:szCs w:val="14"/>
        </w:rPr>
        <w:t xml:space="preserve"> Lei Municipal</w:t>
      </w:r>
      <w:r w:rsidR="006B5A26">
        <w:rPr>
          <w:rFonts w:ascii="Arial" w:hAnsi="Arial" w:cs="Arial"/>
          <w:sz w:val="14"/>
          <w:szCs w:val="14"/>
        </w:rPr>
        <w:t xml:space="preserve"> correspondente; e se o valor da condenação for superior ao definido como de </w:t>
      </w:r>
      <w:r w:rsidR="006B5A26">
        <w:rPr>
          <w:rFonts w:ascii="Arial" w:hAnsi="Arial" w:cs="Arial"/>
          <w:i/>
          <w:sz w:val="14"/>
          <w:szCs w:val="14"/>
        </w:rPr>
        <w:t>pequeno valor</w:t>
      </w:r>
      <w:r w:rsidR="006B5A26">
        <w:rPr>
          <w:rFonts w:ascii="Arial" w:hAnsi="Arial" w:cs="Arial"/>
          <w:iCs/>
          <w:sz w:val="14"/>
          <w:szCs w:val="14"/>
        </w:rPr>
        <w:t>,</w:t>
      </w:r>
      <w:r w:rsidR="006B5A26">
        <w:rPr>
          <w:rFonts w:ascii="Arial" w:hAnsi="Arial" w:cs="Arial"/>
          <w:sz w:val="14"/>
          <w:szCs w:val="14"/>
        </w:rPr>
        <w:t xml:space="preserve"> seu pagamento ocorre por meio de precatório (Resolução nº 303/</w:t>
      </w:r>
      <w:r w:rsidR="006B5A26" w:rsidRPr="00FD5478">
        <w:rPr>
          <w:rFonts w:ascii="Arial" w:hAnsi="Arial" w:cs="Arial"/>
          <w:sz w:val="14"/>
          <w:szCs w:val="14"/>
        </w:rPr>
        <w:t>2019</w:t>
      </w:r>
      <w:r w:rsidR="006B5A26">
        <w:rPr>
          <w:rFonts w:ascii="Arial" w:hAnsi="Arial" w:cs="Arial"/>
          <w:sz w:val="14"/>
          <w:szCs w:val="14"/>
        </w:rPr>
        <w:t xml:space="preserve"> do CNJ:</w:t>
      </w:r>
      <w:r w:rsidR="006B5A26" w:rsidRPr="00FD5478">
        <w:rPr>
          <w:rFonts w:ascii="Arial" w:hAnsi="Arial" w:cs="Arial"/>
          <w:sz w:val="14"/>
          <w:szCs w:val="14"/>
        </w:rPr>
        <w:t xml:space="preserve"> </w:t>
      </w:r>
      <w:r w:rsidR="006B5A26">
        <w:rPr>
          <w:rFonts w:ascii="Arial" w:hAnsi="Arial" w:cs="Arial"/>
          <w:sz w:val="14"/>
          <w:szCs w:val="14"/>
        </w:rPr>
        <w:t>“Art. 4º</w:t>
      </w:r>
      <w:r w:rsidR="006B5A26" w:rsidRPr="00FD5478">
        <w:rPr>
          <w:rFonts w:ascii="Arial" w:hAnsi="Arial" w:cs="Arial"/>
          <w:sz w:val="14"/>
          <w:szCs w:val="14"/>
        </w:rPr>
        <w:t xml:space="preserve"> O pagamento de débito judicial superior àquele definido em lei como de pequeno valor será realizado m</w:t>
      </w:r>
      <w:r w:rsidR="006B5A26">
        <w:rPr>
          <w:rFonts w:ascii="Arial" w:hAnsi="Arial" w:cs="Arial"/>
          <w:sz w:val="14"/>
          <w:szCs w:val="14"/>
        </w:rPr>
        <w:t>ediante expedição de precatório.”).</w:t>
      </w:r>
    </w:p>
  </w:footnote>
  <w:footnote w:id="5">
    <w:p w14:paraId="7E757657" w14:textId="77777777" w:rsidR="004B34F3" w:rsidRDefault="00E80B2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530DA">
        <w:rPr>
          <w:rStyle w:val="FootnoteCharacters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O Tribunal de Justiça do Estado do Paraná disponibiliza a </w:t>
      </w:r>
      <w:r>
        <w:rPr>
          <w:rFonts w:ascii="Arial" w:hAnsi="Arial" w:cs="Arial"/>
          <w:i/>
          <w:sz w:val="14"/>
          <w:szCs w:val="14"/>
        </w:rPr>
        <w:t>Calculadora Judicial Agnesi</w:t>
      </w:r>
      <w:r>
        <w:rPr>
          <w:rFonts w:ascii="Arial" w:hAnsi="Arial" w:cs="Arial"/>
          <w:sz w:val="14"/>
          <w:szCs w:val="14"/>
        </w:rPr>
        <w:t xml:space="preserve"> em seu sítio eletrônico (</w:t>
      </w:r>
      <w:hyperlink r:id="rId2">
        <w:r>
          <w:rPr>
            <w:rStyle w:val="Hyperlink"/>
            <w:rFonts w:ascii="Arial" w:hAnsi="Arial" w:cs="Arial"/>
            <w:sz w:val="14"/>
            <w:szCs w:val="14"/>
          </w:rPr>
          <w:t>https://url.gratis/MWwMC</w:t>
        </w:r>
      </w:hyperlink>
      <w:r>
        <w:rPr>
          <w:rFonts w:ascii="Arial" w:hAnsi="Arial" w:cs="Arial"/>
          <w:sz w:val="14"/>
          <w:szCs w:val="14"/>
        </w:rPr>
        <w:t>), a fim de auxiliar as partes no cálculo do valor da execução.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F3"/>
    <w:rsid w:val="0001611B"/>
    <w:rsid w:val="00216729"/>
    <w:rsid w:val="003530DA"/>
    <w:rsid w:val="004B34F3"/>
    <w:rsid w:val="005F0DAA"/>
    <w:rsid w:val="00625ABC"/>
    <w:rsid w:val="0064104B"/>
    <w:rsid w:val="006B5A26"/>
    <w:rsid w:val="008A52AE"/>
    <w:rsid w:val="00E80B26"/>
    <w:rsid w:val="00F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028F"/>
  <w15:docId w15:val="{D8696364-8F78-453C-8957-690BFA74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A1A3A"/>
    <w:rPr>
      <w:color w:val="0000FF"/>
      <w:u w:val="single"/>
    </w:rPr>
  </w:style>
  <w:style w:type="character" w:customStyle="1" w:styleId="normaltextrun">
    <w:name w:val="normaltextrun"/>
    <w:basedOn w:val="Fontepargpadro"/>
    <w:qFormat/>
    <w:rsid w:val="008A1A3A"/>
  </w:style>
  <w:style w:type="character" w:customStyle="1" w:styleId="eop">
    <w:name w:val="eop"/>
    <w:basedOn w:val="Fontepargpadro"/>
    <w:qFormat/>
    <w:rsid w:val="008A1A3A"/>
  </w:style>
  <w:style w:type="character" w:styleId="Refdecomentrio">
    <w:name w:val="annotation reference"/>
    <w:basedOn w:val="Fontepargpadro"/>
    <w:uiPriority w:val="99"/>
    <w:semiHidden/>
    <w:unhideWhenUsed/>
    <w:qFormat/>
    <w:rsid w:val="004974B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974B4"/>
    <w:rPr>
      <w:rFonts w:ascii="Arial" w:hAnsi="Arial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974B4"/>
    <w:rPr>
      <w:rFonts w:ascii="Segoe UI" w:hAnsi="Segoe UI" w:cs="Segoe UI"/>
      <w:sz w:val="18"/>
      <w:szCs w:val="18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974B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4974B4"/>
    <w:rPr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ejaVu Sans"/>
    </w:rPr>
  </w:style>
  <w:style w:type="paragraph" w:styleId="PargrafodaLista">
    <w:name w:val="List Paragraph"/>
    <w:basedOn w:val="Normal"/>
    <w:uiPriority w:val="34"/>
    <w:qFormat/>
    <w:rsid w:val="008A1A3A"/>
    <w:pPr>
      <w:ind w:left="720"/>
      <w:contextualSpacing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4974B4"/>
    <w:pPr>
      <w:jc w:val="both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974B4"/>
    <w:pPr>
      <w:spacing w:line="240" w:lineRule="auto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974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974B4"/>
    <w:pPr>
      <w:spacing w:after="0"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30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rl.gratis/MWwMC" TargetMode="External"/><Relationship Id="rId1" Type="http://schemas.openxmlformats.org/officeDocument/2006/relationships/hyperlink" Target="https://www.fazenda.pr.gov.br/Pagina/Requisicao-de-Pequeno-Valor-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dc:description/>
  <cp:lastModifiedBy>Rocela Popp Rosa Scholles</cp:lastModifiedBy>
  <cp:revision>10</cp:revision>
  <dcterms:created xsi:type="dcterms:W3CDTF">2023-02-07T19:57:00Z</dcterms:created>
  <dcterms:modified xsi:type="dcterms:W3CDTF">2024-10-17T20:21:00Z</dcterms:modified>
  <dc:language>en-US</dc:language>
</cp:coreProperties>
</file>