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BE17" w14:textId="77777777" w:rsidR="00A70EA2" w:rsidRPr="00CC34AB" w:rsidRDefault="00A70EA2" w:rsidP="00A70E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C34A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9DE3F4F" w14:textId="77777777" w:rsidR="00A70EA2" w:rsidRPr="00CC34AB" w:rsidRDefault="00A70EA2" w:rsidP="00A70EA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E2FBA6E" w14:textId="77777777" w:rsidR="00A70EA2" w:rsidRPr="00CC34AB" w:rsidRDefault="00A70EA2" w:rsidP="00A70EA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580FC3AF" w14:textId="77777777" w:rsidR="00A70EA2" w:rsidRPr="00436269" w:rsidRDefault="00A70EA2" w:rsidP="00A70E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36269">
        <w:rPr>
          <w:rFonts w:eastAsia="Times New Roman" w:cs="Arial"/>
          <w:b/>
          <w:bCs/>
          <w:u w:val="single"/>
          <w:lang w:eastAsia="pt-BR"/>
        </w:rPr>
        <w:t>CARTA de CITAÇÃO e INTIMAÇÃO</w:t>
      </w:r>
    </w:p>
    <w:p w14:paraId="6FD2F37A" w14:textId="77777777" w:rsidR="00A70EA2" w:rsidRPr="00CC34AB" w:rsidRDefault="00A70EA2" w:rsidP="00A70EA2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CC34AB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CC34AB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CC34AB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() != "" ) Prazo: </w:t>
      </w:r>
      <w:r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AD38689" w14:textId="77777777" w:rsidR="00A70EA2" w:rsidRPr="00CC34AB" w:rsidRDefault="00A70EA2" w:rsidP="00A70EA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6FDCE8F1" w14:textId="77777777" w:rsidR="00A70EA2" w:rsidRPr="00CC34AB" w:rsidRDefault="00A70EA2" w:rsidP="00A70EA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bCs/>
          <w:sz w:val="18"/>
          <w:szCs w:val="18"/>
          <w:lang w:eastAsia="pt-BR"/>
        </w:rPr>
        <w:t>Destinatário(</w:t>
      </w:r>
      <w:proofErr w:type="gramEnd"/>
      <w:r>
        <w:rPr>
          <w:rFonts w:eastAsia="Arial" w:cs="Arial"/>
          <w:b/>
          <w:bCs/>
          <w:sz w:val="18"/>
          <w:szCs w:val="18"/>
          <w:lang w:eastAsia="pt-BR"/>
        </w:rPr>
        <w:t>a):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$!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CC34AB">
        <w:rPr>
          <w:rFonts w:eastAsia="Arial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Arial" w:cs="Arial"/>
          <w:sz w:val="18"/>
          <w:szCs w:val="18"/>
          <w:lang w:eastAsia="pt-BR"/>
        </w:rPr>
        <w:t>parteSelecionadaDadosBasicos</w:t>
      </w:r>
      <w:proofErr w:type="spellEnd"/>
      <w:r w:rsidRPr="00CC34AB">
        <w:rPr>
          <w:rFonts w:eastAsia="Arial" w:cs="Arial"/>
          <w:sz w:val="18"/>
          <w:szCs w:val="18"/>
          <w:lang w:eastAsia="pt-BR"/>
        </w:rPr>
        <w:t xml:space="preserve"> </w:t>
      </w:r>
    </w:p>
    <w:p w14:paraId="08E16814" w14:textId="77777777" w:rsidR="00A70EA2" w:rsidRPr="00CC34AB" w:rsidRDefault="00A70EA2" w:rsidP="00A70EA2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14:paraId="4A628AED" w14:textId="77777777" w:rsidR="00A70EA2" w:rsidRPr="007923C3" w:rsidRDefault="00A70EA2" w:rsidP="00A70EA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>
        <w:rPr>
          <w:rFonts w:eastAsia="Arial" w:cs="Arial"/>
          <w:b/>
          <w:bCs/>
          <w:sz w:val="18"/>
          <w:szCs w:val="18"/>
          <w:lang w:eastAsia="pt-BR"/>
        </w:rPr>
        <w:t>carta, fica:</w:t>
      </w:r>
    </w:p>
    <w:p w14:paraId="417880C3" w14:textId="77777777" w:rsidR="00A70EA2" w:rsidRPr="007923C3" w:rsidRDefault="00A70EA2" w:rsidP="00A70EA2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46F08A70" w14:textId="77777777" w:rsidR="00A70EA2" w:rsidRPr="007923C3" w:rsidRDefault="00A70EA2" w:rsidP="00A70EA2">
      <w:pPr>
        <w:spacing w:after="0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CITADO(A)</w:t>
      </w:r>
      <w:r>
        <w:rPr>
          <w:rFonts w:eastAsia="Arial" w:cs="Arial"/>
          <w:sz w:val="18"/>
          <w:szCs w:val="18"/>
        </w:rPr>
        <w:t xml:space="preserve">, </w:t>
      </w:r>
      <w:r w:rsidRPr="00460F89">
        <w:rPr>
          <w:rFonts w:eastAsia="Arial" w:cs="Arial"/>
          <w:sz w:val="18"/>
          <w:szCs w:val="18"/>
        </w:rPr>
        <w:t xml:space="preserve">na pessoa do seu representante </w:t>
      </w:r>
      <w:r>
        <w:rPr>
          <w:rFonts w:eastAsia="Arial" w:cs="Arial"/>
          <w:sz w:val="18"/>
          <w:szCs w:val="18"/>
        </w:rPr>
        <w:t xml:space="preserve">judicial (art. 6º, Lei nº 12.153/2009 c/c </w:t>
      </w:r>
      <w:proofErr w:type="spellStart"/>
      <w:r>
        <w:rPr>
          <w:rFonts w:eastAsia="Arial" w:cs="Arial"/>
          <w:sz w:val="18"/>
          <w:szCs w:val="18"/>
        </w:rPr>
        <w:t>arts</w:t>
      </w:r>
      <w:proofErr w:type="spellEnd"/>
      <w:r>
        <w:rPr>
          <w:rFonts w:eastAsia="Arial" w:cs="Arial"/>
          <w:sz w:val="18"/>
          <w:szCs w:val="18"/>
        </w:rPr>
        <w:t xml:space="preserve">. 242, </w:t>
      </w:r>
      <w:r w:rsidRPr="00EA71DC">
        <w:rPr>
          <w:rFonts w:cs="Arial"/>
          <w:color w:val="000000"/>
          <w:sz w:val="18"/>
          <w:szCs w:val="18"/>
        </w:rPr>
        <w:t>§ 3º</w:t>
      </w:r>
      <w:r w:rsidRPr="00E955D8">
        <w:rPr>
          <w:rFonts w:eastAsia="Arial" w:cs="Arial"/>
          <w:sz w:val="18"/>
          <w:szCs w:val="18"/>
        </w:rPr>
        <w:t>,</w:t>
      </w:r>
      <w:r>
        <w:rPr>
          <w:rFonts w:eastAsia="Arial" w:cs="Arial"/>
          <w:sz w:val="18"/>
          <w:szCs w:val="18"/>
        </w:rPr>
        <w:t xml:space="preserve"> e 246, </w:t>
      </w:r>
      <w:r w:rsidRPr="00476959">
        <w:rPr>
          <w:rFonts w:cs="Arial"/>
          <w:color w:val="000000"/>
          <w:sz w:val="18"/>
          <w:szCs w:val="18"/>
        </w:rPr>
        <w:t xml:space="preserve">§ </w:t>
      </w:r>
      <w:r>
        <w:rPr>
          <w:rFonts w:cs="Arial"/>
          <w:color w:val="000000"/>
          <w:sz w:val="18"/>
          <w:szCs w:val="18"/>
        </w:rPr>
        <w:t>1</w:t>
      </w:r>
      <w:r w:rsidRPr="00476959">
        <w:rPr>
          <w:rFonts w:cs="Arial"/>
          <w:color w:val="000000"/>
          <w:sz w:val="18"/>
          <w:szCs w:val="18"/>
        </w:rPr>
        <w:t>º</w:t>
      </w:r>
      <w:r>
        <w:rPr>
          <w:rFonts w:cs="Arial"/>
          <w:color w:val="000000"/>
          <w:sz w:val="18"/>
          <w:szCs w:val="18"/>
        </w:rPr>
        <w:t>,</w:t>
      </w:r>
      <w:r w:rsidRPr="00460F89"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 xml:space="preserve">CPC), </w:t>
      </w:r>
      <w:r w:rsidRPr="00460F89">
        <w:rPr>
          <w:rFonts w:eastAsia="Arial" w:cs="Arial"/>
          <w:sz w:val="18"/>
          <w:szCs w:val="18"/>
        </w:rPr>
        <w:t>para comparecer à audiência conciliatória</w:t>
      </w:r>
      <w:r w:rsidRPr="00EA71DC">
        <w:rPr>
          <w:rStyle w:val="Refdenotaderodap"/>
          <w:rFonts w:eastAsia="Arial" w:cs="Arial"/>
          <w:sz w:val="18"/>
          <w:szCs w:val="18"/>
          <w:lang w:eastAsia="pt-BR"/>
        </w:rPr>
        <w:footnoteReference w:id="1"/>
      </w:r>
      <w:r>
        <w:rPr>
          <w:rFonts w:eastAsia="Arial" w:cs="Arial"/>
          <w:sz w:val="18"/>
          <w:szCs w:val="18"/>
        </w:rPr>
        <w:t>.</w:t>
      </w:r>
    </w:p>
    <w:p w14:paraId="14FBBD1D" w14:textId="77777777" w:rsidR="00A70EA2" w:rsidRPr="007923C3" w:rsidRDefault="00A70EA2" w:rsidP="00A70EA2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1892AD85" w14:textId="77777777" w:rsidR="00A70EA2" w:rsidRPr="007923C3" w:rsidRDefault="00A70EA2" w:rsidP="00A70EA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</w:rPr>
        <w:t>$</w:t>
      </w:r>
      <w:proofErr w:type="spellStart"/>
      <w:r w:rsidRPr="007923C3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EA71DC">
        <w:rPr>
          <w:rFonts w:eastAsia="Arial" w:cs="Arial"/>
          <w:b/>
          <w:sz w:val="18"/>
          <w:szCs w:val="18"/>
        </w:rPr>
        <w:t>designada</w:t>
      </w:r>
    </w:p>
    <w:p w14:paraId="4E1792B2" w14:textId="77777777" w:rsidR="00A70EA2" w:rsidRPr="007923C3" w:rsidRDefault="00A70EA2" w:rsidP="00A70EA2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79638629" w14:textId="77777777" w:rsidR="00A70EA2" w:rsidRPr="007923C3" w:rsidRDefault="00A70EA2" w:rsidP="00A70EA2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7923C3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7923C3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7923C3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7A1EC861" w14:textId="77777777" w:rsidR="00A70EA2" w:rsidRDefault="00A70EA2" w:rsidP="00A70EA2">
      <w:pPr>
        <w:pStyle w:val="PargrafodaLista"/>
        <w:spacing w:after="0" w:line="240" w:lineRule="auto"/>
        <w:ind w:left="0"/>
        <w:rPr>
          <w:rFonts w:eastAsia="Arial" w:cs="Arial"/>
          <w:color w:val="273BFD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</w:rPr>
        <w:t>IMPORTANTE:</w:t>
      </w:r>
      <w:r w:rsidRPr="007923C3">
        <w:rPr>
          <w:rFonts w:eastAsia="Arial" w:cs="Arial"/>
          <w:color w:val="273BFD"/>
          <w:sz w:val="18"/>
          <w:szCs w:val="18"/>
        </w:rPr>
        <w:t xml:space="preserve"> </w:t>
      </w:r>
    </w:p>
    <w:p w14:paraId="09FA2A40" w14:textId="77777777" w:rsidR="00A70EA2" w:rsidRPr="008F472D" w:rsidRDefault="00A70EA2" w:rsidP="00A70EA2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836ECC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836ECC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836ECC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5D339A36" w14:textId="77777777" w:rsidR="00A70EA2" w:rsidRPr="001E5260" w:rsidRDefault="00A70EA2" w:rsidP="00A70EA2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</w:t>
      </w:r>
      <w:bookmarkStart w:id="2" w:name="_GoBack"/>
      <w:bookmarkEnd w:id="2"/>
      <w:r w:rsidRPr="001E5260">
        <w:rPr>
          <w:rFonts w:eastAsia="Arial" w:cs="Arial"/>
          <w:sz w:val="18"/>
          <w:szCs w:val="18"/>
        </w:rPr>
        <w:t>o de identificação com foto;</w:t>
      </w:r>
    </w:p>
    <w:p w14:paraId="1FAFF5F7" w14:textId="77777777" w:rsidR="00A70EA2" w:rsidRPr="004C25D1" w:rsidRDefault="00A70EA2" w:rsidP="00A70EA2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070D2F">
        <w:rPr>
          <w:rFonts w:eastAsia="Times New Roman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3C7BD13C" w14:textId="77777777" w:rsidR="00A70EA2" w:rsidRDefault="00A70EA2" w:rsidP="00A70EA2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</w:p>
    <w:p w14:paraId="7516AFBA" w14:textId="77777777" w:rsidR="00A70EA2" w:rsidRDefault="00A70EA2" w:rsidP="00A70EA2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AB436F">
        <w:rPr>
          <w:rFonts w:eastAsia="Arial" w:cs="Arial"/>
          <w:sz w:val="18"/>
          <w:szCs w:val="18"/>
        </w:rPr>
        <w:t xml:space="preserve">a </w:t>
      </w:r>
      <w:r>
        <w:rPr>
          <w:rFonts w:eastAsia="Arial" w:cs="Arial"/>
          <w:sz w:val="18"/>
          <w:szCs w:val="18"/>
        </w:rPr>
        <w:t xml:space="preserve">fornecer ao Juizado a documentação de que disponha para esclarecimento da causa, até a data da audiência de conciliação </w:t>
      </w:r>
      <w:bookmarkStart w:id="3" w:name="_Hlk125721808"/>
      <w:r>
        <w:rPr>
          <w:rFonts w:eastAsia="Arial" w:cs="Arial"/>
          <w:sz w:val="18"/>
          <w:szCs w:val="18"/>
        </w:rPr>
        <w:t>(art. 9º, Lei nº 12.153/2009).</w:t>
      </w:r>
      <w:bookmarkEnd w:id="3"/>
    </w:p>
    <w:p w14:paraId="026076F9" w14:textId="77777777" w:rsidR="00A70EA2" w:rsidRDefault="00A70EA2" w:rsidP="00A70EA2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</w:p>
    <w:p w14:paraId="49C0E06F" w14:textId="77777777" w:rsidR="00A70EA2" w:rsidRDefault="00A70EA2" w:rsidP="00A70EA2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7923C3">
        <w:rPr>
          <w:rFonts w:eastAsia="Arial" w:cs="Arial"/>
          <w:b/>
          <w:sz w:val="18"/>
          <w:szCs w:val="18"/>
          <w:lang w:eastAsia="pt-BR"/>
        </w:rPr>
        <w:t>3.</w:t>
      </w:r>
      <w:r w:rsidRPr="007923C3">
        <w:rPr>
          <w:rFonts w:eastAsia="Arial" w:cs="Arial"/>
          <w:sz w:val="18"/>
          <w:szCs w:val="18"/>
          <w:lang w:eastAsia="pt-BR"/>
        </w:rPr>
        <w:t xml:space="preserve"> </w:t>
      </w:r>
      <w:r w:rsidRPr="007923C3">
        <w:rPr>
          <w:rFonts w:eastAsia="Arial" w:cs="Arial"/>
          <w:b/>
          <w:bCs/>
          <w:sz w:val="18"/>
          <w:szCs w:val="18"/>
          <w:u w:val="single"/>
        </w:rPr>
        <w:t>ADVERTIDO(A)</w:t>
      </w:r>
      <w:r w:rsidRPr="007901E8">
        <w:rPr>
          <w:rFonts w:eastAsia="Arial" w:cs="Arial"/>
          <w:bCs/>
          <w:sz w:val="18"/>
          <w:szCs w:val="18"/>
        </w:rPr>
        <w:t xml:space="preserve"> de </w:t>
      </w:r>
      <w:r w:rsidRPr="007923C3">
        <w:rPr>
          <w:rFonts w:eastAsia="Arial" w:cs="Arial"/>
          <w:bCs/>
          <w:sz w:val="18"/>
          <w:szCs w:val="18"/>
        </w:rPr>
        <w:t>que</w:t>
      </w:r>
      <w:r>
        <w:rPr>
          <w:rFonts w:eastAsia="Arial" w:cs="Arial"/>
          <w:bCs/>
          <w:sz w:val="18"/>
          <w:szCs w:val="18"/>
        </w:rPr>
        <w:t>:</w:t>
      </w:r>
      <w:r w:rsidRPr="007923C3">
        <w:rPr>
          <w:rFonts w:eastAsia="Arial" w:cs="Arial"/>
          <w:bCs/>
          <w:sz w:val="18"/>
          <w:szCs w:val="18"/>
        </w:rPr>
        <w:t xml:space="preserve"> </w:t>
      </w:r>
    </w:p>
    <w:p w14:paraId="076EE217" w14:textId="77777777" w:rsidR="00A70EA2" w:rsidRDefault="00A70EA2" w:rsidP="00A70EA2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045335">
        <w:rPr>
          <w:rFonts w:eastAsia="Times New Roman" w:cs="Arial"/>
          <w:b/>
          <w:sz w:val="18"/>
          <w:szCs w:val="18"/>
        </w:rPr>
        <w:t>3.1</w:t>
      </w:r>
      <w:r>
        <w:rPr>
          <w:rFonts w:eastAsia="Times New Roman" w:cs="Arial"/>
          <w:b/>
          <w:sz w:val="18"/>
          <w:szCs w:val="18"/>
        </w:rPr>
        <w:t>.</w:t>
      </w:r>
      <w:r w:rsidRPr="00045335">
        <w:rPr>
          <w:rFonts w:eastAsia="Times New Roman" w:cs="Arial"/>
          <w:sz w:val="18"/>
          <w:szCs w:val="18"/>
        </w:rPr>
        <w:t xml:space="preserve"> </w:t>
      </w:r>
      <w:r w:rsidRPr="00E955D8">
        <w:rPr>
          <w:rFonts w:eastAsia="Times New Roman" w:cs="Arial"/>
          <w:sz w:val="18"/>
          <w:szCs w:val="18"/>
        </w:rPr>
        <w:t>Os representantes judiciais d</w:t>
      </w:r>
      <w:r>
        <w:rPr>
          <w:rFonts w:eastAsia="Times New Roman" w:cs="Arial"/>
          <w:sz w:val="18"/>
          <w:szCs w:val="18"/>
        </w:rPr>
        <w:t>a</w:t>
      </w:r>
      <w:r w:rsidRPr="00E955D8">
        <w:rPr>
          <w:rFonts w:eastAsia="Times New Roman" w:cs="Arial"/>
          <w:sz w:val="18"/>
          <w:szCs w:val="18"/>
        </w:rPr>
        <w:t xml:space="preserve">s </w:t>
      </w:r>
      <w:r>
        <w:rPr>
          <w:rFonts w:eastAsia="Times New Roman" w:cs="Arial"/>
          <w:sz w:val="18"/>
          <w:szCs w:val="18"/>
        </w:rPr>
        <w:t xml:space="preserve">partes </w:t>
      </w:r>
      <w:r w:rsidRPr="00E955D8">
        <w:rPr>
          <w:rFonts w:eastAsia="Times New Roman" w:cs="Arial"/>
          <w:sz w:val="18"/>
          <w:szCs w:val="18"/>
        </w:rPr>
        <w:t>rés presentes à audiência poderão conciliar, transigir ou desistir nos processos da competência dos Juizados Especiais, nos termos e nas hipóteses previstas na lei do respectivo ente da Federação</w:t>
      </w:r>
      <w:r>
        <w:rPr>
          <w:rFonts w:cs="Arial"/>
          <w:color w:val="000000"/>
          <w:sz w:val="18"/>
          <w:szCs w:val="18"/>
        </w:rPr>
        <w:t>;</w:t>
      </w:r>
    </w:p>
    <w:p w14:paraId="43E435B7" w14:textId="77777777" w:rsidR="00A70EA2" w:rsidRDefault="00A70EA2" w:rsidP="00A70EA2">
      <w:pPr>
        <w:spacing w:after="0"/>
        <w:rPr>
          <w:rFonts w:cs="Arial"/>
          <w:color w:val="000000"/>
          <w:sz w:val="18"/>
          <w:szCs w:val="18"/>
        </w:rPr>
      </w:pPr>
      <w:r w:rsidRPr="00EA71DC">
        <w:rPr>
          <w:rFonts w:cs="Arial"/>
          <w:b/>
          <w:bCs/>
          <w:color w:val="000000"/>
          <w:sz w:val="18"/>
          <w:szCs w:val="18"/>
        </w:rPr>
        <w:t>3.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EA71DC"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 Caso deseje, poderá </w:t>
      </w:r>
      <w:r w:rsidRPr="00703E69">
        <w:rPr>
          <w:rFonts w:cs="Arial"/>
          <w:color w:val="000000"/>
          <w:sz w:val="18"/>
          <w:szCs w:val="18"/>
        </w:rPr>
        <w:t xml:space="preserve">levar, no máximo, </w:t>
      </w:r>
      <w:r w:rsidRPr="00070D2F">
        <w:rPr>
          <w:rFonts w:cs="Arial"/>
          <w:color w:val="000000"/>
          <w:sz w:val="18"/>
          <w:szCs w:val="18"/>
          <w:u w:val="single"/>
        </w:rPr>
        <w:t>3 (três) testemunhas</w:t>
      </w:r>
      <w:r w:rsidRPr="00703E69">
        <w:rPr>
          <w:rFonts w:cs="Arial"/>
          <w:color w:val="000000"/>
          <w:sz w:val="18"/>
          <w:szCs w:val="18"/>
        </w:rPr>
        <w:t xml:space="preserve"> à audiência </w:t>
      </w:r>
      <w:r>
        <w:rPr>
          <w:rFonts w:cs="Arial"/>
          <w:color w:val="000000"/>
          <w:sz w:val="18"/>
          <w:szCs w:val="18"/>
        </w:rPr>
        <w:t>de conciliação;</w:t>
      </w:r>
    </w:p>
    <w:p w14:paraId="24ED9183" w14:textId="77777777" w:rsidR="00A70EA2" w:rsidRDefault="00A70EA2" w:rsidP="00A70EA2">
      <w:pPr>
        <w:spacing w:after="0"/>
        <w:rPr>
          <w:rFonts w:cs="Arial"/>
          <w:color w:val="000000"/>
          <w:sz w:val="18"/>
          <w:szCs w:val="18"/>
        </w:rPr>
      </w:pPr>
      <w:r w:rsidRPr="00EA71DC">
        <w:rPr>
          <w:rFonts w:cs="Arial"/>
          <w:b/>
          <w:bCs/>
          <w:color w:val="000000"/>
          <w:sz w:val="18"/>
          <w:szCs w:val="18"/>
        </w:rPr>
        <w:t>3.</w:t>
      </w:r>
      <w:r>
        <w:rPr>
          <w:rFonts w:cs="Arial"/>
          <w:b/>
          <w:bCs/>
          <w:color w:val="000000"/>
          <w:sz w:val="18"/>
          <w:szCs w:val="18"/>
        </w:rPr>
        <w:t>3</w:t>
      </w:r>
      <w:r w:rsidRPr="00EA71DC"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 Durante a audiência</w:t>
      </w:r>
      <w:r w:rsidRPr="00703E69">
        <w:rPr>
          <w:rFonts w:cs="Arial"/>
          <w:color w:val="000000"/>
          <w:sz w:val="18"/>
          <w:szCs w:val="18"/>
        </w:rPr>
        <w:t xml:space="preserve"> </w:t>
      </w:r>
      <w:r w:rsidRPr="00A47FDA">
        <w:rPr>
          <w:rFonts w:cs="Arial"/>
          <w:color w:val="000000"/>
          <w:sz w:val="18"/>
          <w:szCs w:val="18"/>
        </w:rPr>
        <w:t>de conciliação</w:t>
      </w:r>
      <w:r>
        <w:rPr>
          <w:rFonts w:cs="Arial"/>
          <w:color w:val="000000"/>
          <w:sz w:val="18"/>
          <w:szCs w:val="18"/>
        </w:rPr>
        <w:t xml:space="preserve">, o conciliador poderá </w:t>
      </w:r>
      <w:r w:rsidRPr="00A47FDA">
        <w:rPr>
          <w:rFonts w:cs="Arial"/>
          <w:color w:val="000000"/>
          <w:sz w:val="18"/>
          <w:szCs w:val="18"/>
        </w:rPr>
        <w:t>ouvir as partes e testemunhas sobre os contornos fáticos da controvérsia</w:t>
      </w:r>
      <w:r>
        <w:rPr>
          <w:rFonts w:cs="Arial"/>
          <w:color w:val="000000"/>
          <w:sz w:val="18"/>
          <w:szCs w:val="18"/>
        </w:rPr>
        <w:t>,</w:t>
      </w:r>
      <w:r w:rsidRPr="00A47FDA">
        <w:rPr>
          <w:rFonts w:cs="Arial"/>
          <w:color w:val="000000"/>
          <w:sz w:val="18"/>
          <w:szCs w:val="18"/>
        </w:rPr>
        <w:t xml:space="preserve"> para fins de encaminhamento da composição amigável</w:t>
      </w:r>
      <w:r>
        <w:rPr>
          <w:rFonts w:cs="Arial"/>
          <w:color w:val="000000"/>
          <w:sz w:val="18"/>
          <w:szCs w:val="18"/>
        </w:rPr>
        <w:t xml:space="preserve"> (art. 16, </w:t>
      </w:r>
      <w:r w:rsidRPr="00045335">
        <w:rPr>
          <w:rFonts w:eastAsia="Times New Roman" w:cs="Arial"/>
          <w:sz w:val="18"/>
          <w:szCs w:val="18"/>
        </w:rPr>
        <w:t>§ 1º</w:t>
      </w:r>
      <w:r>
        <w:rPr>
          <w:rFonts w:eastAsia="Times New Roman" w:cs="Arial"/>
          <w:sz w:val="18"/>
          <w:szCs w:val="18"/>
        </w:rPr>
        <w:t>,</w:t>
      </w:r>
      <w:r w:rsidRPr="00045335">
        <w:rPr>
          <w:rFonts w:eastAsia="Times New Roman" w:cs="Arial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Lei nº 12.153/2009);</w:t>
      </w:r>
    </w:p>
    <w:p w14:paraId="48F414DF" w14:textId="77777777" w:rsidR="00A70EA2" w:rsidRDefault="00A70EA2" w:rsidP="00A70EA2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3.4</w:t>
      </w:r>
      <w:r w:rsidRPr="00095D2F">
        <w:rPr>
          <w:rFonts w:eastAsia="Arial" w:cs="Arial"/>
          <w:b/>
          <w:color w:val="000000" w:themeColor="text1"/>
          <w:sz w:val="18"/>
          <w:szCs w:val="18"/>
        </w:rPr>
        <w:t>.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Arial" w:cs="Arial"/>
          <w:color w:val="000000" w:themeColor="text1"/>
          <w:sz w:val="18"/>
          <w:szCs w:val="18"/>
        </w:rPr>
        <w:t xml:space="preserve">Caso não tenha acordo na audiência de conciliação,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a ação </w:t>
      </w:r>
      <w:r>
        <w:rPr>
          <w:rFonts w:eastAsia="Arial" w:cs="Arial"/>
          <w:color w:val="000000" w:themeColor="text1"/>
          <w:sz w:val="18"/>
          <w:szCs w:val="18"/>
        </w:rPr>
        <w:t xml:space="preserve">poderá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ser julgada antecipadamente ou, se for o caso, ser </w:t>
      </w:r>
      <w:r>
        <w:rPr>
          <w:rFonts w:eastAsia="Arial" w:cs="Arial"/>
          <w:color w:val="000000" w:themeColor="text1"/>
          <w:sz w:val="18"/>
          <w:szCs w:val="18"/>
        </w:rPr>
        <w:t>marcada uma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Arial" w:cs="Arial"/>
          <w:color w:val="000000" w:themeColor="text1"/>
          <w:sz w:val="18"/>
          <w:szCs w:val="18"/>
        </w:rPr>
        <w:t>a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udiência de </w:t>
      </w:r>
      <w:r>
        <w:rPr>
          <w:rFonts w:eastAsia="Arial" w:cs="Arial"/>
          <w:color w:val="000000" w:themeColor="text1"/>
          <w:sz w:val="18"/>
          <w:szCs w:val="18"/>
        </w:rPr>
        <w:t>i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nstrução e </w:t>
      </w:r>
      <w:r>
        <w:rPr>
          <w:rFonts w:eastAsia="Arial" w:cs="Arial"/>
          <w:color w:val="000000" w:themeColor="text1"/>
          <w:sz w:val="18"/>
          <w:szCs w:val="18"/>
        </w:rPr>
        <w:t>j</w:t>
      </w:r>
      <w:r w:rsidRPr="007923C3">
        <w:rPr>
          <w:rFonts w:eastAsia="Arial" w:cs="Arial"/>
          <w:color w:val="000000" w:themeColor="text1"/>
          <w:sz w:val="18"/>
          <w:szCs w:val="18"/>
        </w:rPr>
        <w:t>ulgamento</w:t>
      </w:r>
      <w:r>
        <w:rPr>
          <w:rFonts w:eastAsia="Arial" w:cs="Arial"/>
          <w:color w:val="000000" w:themeColor="text1"/>
          <w:sz w:val="18"/>
          <w:szCs w:val="18"/>
        </w:rPr>
        <w:t>, onde serão ouvidas as testemunhas</w:t>
      </w:r>
      <w:r>
        <w:rPr>
          <w:rStyle w:val="Refdenotaderodap"/>
          <w:rFonts w:eastAsia="Arial" w:cs="Arial"/>
          <w:color w:val="000000" w:themeColor="text1"/>
          <w:sz w:val="18"/>
          <w:szCs w:val="18"/>
        </w:rPr>
        <w:footnoteReference w:id="3"/>
      </w:r>
      <w:r>
        <w:rPr>
          <w:rFonts w:eastAsia="Arial" w:cs="Arial"/>
          <w:color w:val="000000" w:themeColor="text1"/>
          <w:sz w:val="18"/>
          <w:szCs w:val="18"/>
        </w:rPr>
        <w:t xml:space="preserve"> e apresentadas outras provas</w:t>
      </w:r>
      <w:r>
        <w:rPr>
          <w:rFonts w:cs="Arial"/>
          <w:color w:val="000000"/>
          <w:sz w:val="18"/>
          <w:szCs w:val="18"/>
        </w:rPr>
        <w:t xml:space="preserve">, </w:t>
      </w:r>
      <w:r w:rsidRPr="00A47FDA">
        <w:rPr>
          <w:rFonts w:cs="Arial"/>
          <w:color w:val="000000"/>
          <w:sz w:val="18"/>
          <w:szCs w:val="18"/>
        </w:rPr>
        <w:t xml:space="preserve">podendo </w:t>
      </w:r>
      <w:r>
        <w:rPr>
          <w:rFonts w:cs="Arial"/>
          <w:color w:val="000000"/>
          <w:sz w:val="18"/>
          <w:szCs w:val="18"/>
        </w:rPr>
        <w:t xml:space="preserve">o(a) Juiz(a) </w:t>
      </w:r>
      <w:r w:rsidRPr="00A47FDA">
        <w:rPr>
          <w:rFonts w:cs="Arial"/>
          <w:color w:val="000000"/>
          <w:sz w:val="18"/>
          <w:szCs w:val="18"/>
        </w:rPr>
        <w:t>dispensar novos depoimentos, se entender suficientes para o julgamento da causa os esclarecimentos já constantes</w:t>
      </w:r>
      <w:r>
        <w:rPr>
          <w:rFonts w:cs="Arial"/>
          <w:color w:val="000000"/>
          <w:sz w:val="18"/>
          <w:szCs w:val="18"/>
        </w:rPr>
        <w:t>,</w:t>
      </w:r>
      <w:r w:rsidRPr="00A47FDA">
        <w:rPr>
          <w:rFonts w:cs="Arial"/>
          <w:color w:val="000000"/>
          <w:sz w:val="18"/>
          <w:szCs w:val="18"/>
        </w:rPr>
        <w:t xml:space="preserve"> e não houver impugnação das partes</w:t>
      </w:r>
      <w:r>
        <w:rPr>
          <w:rFonts w:cs="Arial"/>
          <w:color w:val="000000"/>
          <w:sz w:val="18"/>
          <w:szCs w:val="18"/>
        </w:rPr>
        <w:t xml:space="preserve"> (art. 16, </w:t>
      </w:r>
      <w:r w:rsidRPr="00045335">
        <w:rPr>
          <w:rFonts w:eastAsia="Times New Roman" w:cs="Arial"/>
          <w:sz w:val="18"/>
          <w:szCs w:val="18"/>
        </w:rPr>
        <w:t xml:space="preserve">§ </w:t>
      </w:r>
      <w:r>
        <w:rPr>
          <w:rFonts w:eastAsia="Times New Roman" w:cs="Arial"/>
          <w:sz w:val="18"/>
          <w:szCs w:val="18"/>
        </w:rPr>
        <w:t>2</w:t>
      </w:r>
      <w:r w:rsidRPr="00045335">
        <w:rPr>
          <w:rFonts w:eastAsia="Times New Roman" w:cs="Arial"/>
          <w:sz w:val="18"/>
          <w:szCs w:val="18"/>
        </w:rPr>
        <w:t>º</w:t>
      </w:r>
      <w:r>
        <w:rPr>
          <w:rFonts w:eastAsia="Times New Roman" w:cs="Arial"/>
          <w:sz w:val="18"/>
          <w:szCs w:val="18"/>
        </w:rPr>
        <w:t>,</w:t>
      </w:r>
      <w:r w:rsidRPr="00045335">
        <w:rPr>
          <w:rFonts w:eastAsia="Times New Roman" w:cs="Arial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Lei nº 12.153/2009)</w:t>
      </w:r>
      <w:r>
        <w:rPr>
          <w:rFonts w:eastAsia="Arial" w:cs="Arial"/>
          <w:color w:val="000000" w:themeColor="text1"/>
          <w:sz w:val="18"/>
          <w:szCs w:val="18"/>
        </w:rPr>
        <w:t>;</w:t>
      </w:r>
    </w:p>
    <w:p w14:paraId="56D19763" w14:textId="77777777" w:rsidR="00A70EA2" w:rsidRPr="0068423C" w:rsidRDefault="00A70EA2" w:rsidP="00A70EA2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 w:rsidRPr="0068423C">
        <w:rPr>
          <w:rFonts w:eastAsia="Arial" w:cs="Arial"/>
          <w:b/>
          <w:color w:val="000000" w:themeColor="text1"/>
          <w:sz w:val="18"/>
          <w:szCs w:val="18"/>
        </w:rPr>
        <w:t>3.</w:t>
      </w:r>
      <w:r>
        <w:rPr>
          <w:rFonts w:eastAsia="Arial" w:cs="Arial"/>
          <w:b/>
          <w:color w:val="000000" w:themeColor="text1"/>
          <w:sz w:val="18"/>
          <w:szCs w:val="18"/>
        </w:rPr>
        <w:t>5.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0068423C">
        <w:rPr>
          <w:rFonts w:eastAsia="Arial" w:cs="Arial"/>
          <w:sz w:val="18"/>
          <w:szCs w:val="18"/>
        </w:rPr>
        <w:t xml:space="preserve">Tratando-se de relação de consumo, adverte-se que poderá ser determinada a inversão do </w:t>
      </w:r>
      <w:r>
        <w:rPr>
          <w:rFonts w:eastAsia="Arial" w:cs="Arial"/>
          <w:sz w:val="18"/>
          <w:szCs w:val="18"/>
        </w:rPr>
        <w:t>ônus da prova, conforme o art.</w:t>
      </w:r>
      <w:r w:rsidRPr="0068423C">
        <w:rPr>
          <w:rFonts w:eastAsia="Arial" w:cs="Arial"/>
          <w:sz w:val="18"/>
          <w:szCs w:val="18"/>
        </w:rPr>
        <w:t xml:space="preserve"> 6º, </w:t>
      </w:r>
      <w:r>
        <w:rPr>
          <w:rFonts w:eastAsia="Arial" w:cs="Arial"/>
          <w:sz w:val="18"/>
          <w:szCs w:val="18"/>
        </w:rPr>
        <w:t xml:space="preserve">inc. </w:t>
      </w:r>
      <w:r w:rsidRPr="0068423C">
        <w:rPr>
          <w:rFonts w:eastAsia="Arial" w:cs="Arial"/>
          <w:sz w:val="18"/>
          <w:szCs w:val="18"/>
        </w:rPr>
        <w:t>VIII, do Código de Defesa do Consumidor.</w:t>
      </w:r>
    </w:p>
    <w:p w14:paraId="41A98BC7" w14:textId="77777777" w:rsidR="00A70EA2" w:rsidRPr="007923C3" w:rsidRDefault="00A70EA2" w:rsidP="00A70EA2">
      <w:pPr>
        <w:spacing w:after="0" w:line="240" w:lineRule="auto"/>
        <w:rPr>
          <w:rFonts w:eastAsia="Arial" w:cs="Arial"/>
          <w:sz w:val="18"/>
          <w:szCs w:val="18"/>
        </w:rPr>
      </w:pPr>
    </w:p>
    <w:p w14:paraId="206430D4" w14:textId="77777777" w:rsidR="00A70EA2" w:rsidRDefault="00A70EA2" w:rsidP="00A70EA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bookmarkStart w:id="4" w:name="_Hlk148722082"/>
      <w:bookmarkStart w:id="5" w:name="_Hlk148721689"/>
      <w:r>
        <w:rPr>
          <w:rFonts w:eastAsia="Arial" w:cs="Arial"/>
          <w:b/>
          <w:bCs/>
          <w:sz w:val="18"/>
          <w:szCs w:val="18"/>
        </w:rPr>
        <w:t>POSSUI DÚVIDAS?</w:t>
      </w:r>
      <w:r>
        <w:rPr>
          <w:rFonts w:eastAsia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>
        <w:rPr>
          <w:rFonts w:eastAsia="Arial" w:cs="Arial"/>
          <w:b/>
          <w:bCs/>
          <w:sz w:val="18"/>
          <w:szCs w:val="18"/>
        </w:rPr>
        <w:t>a)</w:t>
      </w:r>
      <w:r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>
        <w:rPr>
          <w:rFonts w:eastAsia="Arial" w:cs="Arial"/>
          <w:bCs/>
          <w:sz w:val="18"/>
          <w:szCs w:val="18"/>
        </w:rPr>
        <w:t xml:space="preserve">; </w:t>
      </w:r>
      <w:r>
        <w:rPr>
          <w:rFonts w:eastAsia="Arial" w:cs="Arial"/>
          <w:b/>
          <w:bCs/>
          <w:sz w:val="18"/>
          <w:szCs w:val="18"/>
        </w:rPr>
        <w:t>b)</w:t>
      </w:r>
      <w:r>
        <w:rPr>
          <w:rFonts w:eastAsia="Arial" w:cs="Arial"/>
          <w:bCs/>
          <w:sz w:val="18"/>
          <w:szCs w:val="18"/>
        </w:rPr>
        <w:t xml:space="preserve"> aplicativo de mensagens </w:t>
      </w:r>
      <w:r>
        <w:rPr>
          <w:rFonts w:eastAsia="Arial" w:cs="Arial"/>
          <w:bCs/>
          <w:i/>
          <w:sz w:val="18"/>
          <w:szCs w:val="18"/>
        </w:rPr>
        <w:t>WhatsApp</w:t>
      </w:r>
      <w:r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>
        <w:rPr>
          <w:rFonts w:eastAsia="Arial" w:cs="Arial"/>
          <w:b/>
          <w:bCs/>
          <w:sz w:val="18"/>
          <w:szCs w:val="18"/>
        </w:rPr>
        <w:t>c)</w:t>
      </w:r>
      <w:r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>
        <w:rPr>
          <w:rFonts w:eastAsia="Arial" w:cs="Arial"/>
          <w:b/>
          <w:bCs/>
          <w:sz w:val="18"/>
          <w:szCs w:val="18"/>
        </w:rPr>
        <w:t>d)</w:t>
      </w:r>
      <w:r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3EB1FF32" w14:textId="77777777" w:rsidR="00A70EA2" w:rsidRDefault="00A70EA2" w:rsidP="00A70EA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4D97F442" w14:textId="77777777" w:rsidR="00A70EA2" w:rsidRDefault="00A70EA2" w:rsidP="00A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598272AC" w14:textId="77777777" w:rsidR="00A70EA2" w:rsidRDefault="00A70EA2" w:rsidP="00A70EA2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>
        <w:rPr>
          <w:rFonts w:eastAsia="Times New Roman" w:cs="Arial"/>
          <w:sz w:val="14"/>
          <w:szCs w:val="14"/>
          <w:lang w:eastAsia="pt-BR"/>
        </w:rPr>
        <w:t xml:space="preserve"> (código de acesso) fornecida na contrafé desta comunicação. O conteúdo integral do processo poderá ser acessado, dependendo do seu nível de sigilo e do(a) destinatário(a) desta comunicação, por meio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End w:id="4"/>
      <w:bookmarkEnd w:id="5"/>
    </w:p>
    <w:p w14:paraId="7C76237F" w14:textId="77777777" w:rsidR="00A70EA2" w:rsidRPr="007923C3" w:rsidRDefault="00A70EA2" w:rsidP="00A70EA2">
      <w:pPr>
        <w:spacing w:after="0" w:line="240" w:lineRule="auto"/>
        <w:rPr>
          <w:sz w:val="14"/>
          <w:szCs w:val="16"/>
        </w:rPr>
      </w:pPr>
    </w:p>
    <w:p w14:paraId="5B3CB85F" w14:textId="77777777" w:rsidR="00A70EA2" w:rsidRDefault="00A70EA2" w:rsidP="00A70EA2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bookmarkStart w:id="6" w:name="_Hlk148721751"/>
      <w:r>
        <w:rPr>
          <w:rFonts w:eastAsia="Times New Roman" w:cs="Arial"/>
          <w:b/>
          <w:sz w:val="18"/>
          <w:szCs w:val="18"/>
          <w:u w:val="single"/>
          <w:lang w:eastAsia="pt-BR"/>
        </w:rPr>
        <w:lastRenderedPageBreak/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4"/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A70EA2" w14:paraId="60EF6700" w14:textId="77777777" w:rsidTr="00070D2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9EA74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44B18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661A13A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>
                <w:rPr>
                  <w:rStyle w:val="Hyperlink"/>
                  <w:rFonts w:eastAsia="Times New Roman" w:cs="Arial"/>
                  <w:color w:val="0000FF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6A72E8D0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55A5CFC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06AE1F32" w14:textId="77777777" w:rsidR="00A70EA2" w:rsidRDefault="00A70EA2" w:rsidP="0007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A70EA2" w14:paraId="6777CFDC" w14:textId="77777777" w:rsidTr="00070D2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60C9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ED8B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48E59DE6" w14:textId="77777777" w:rsidR="00A70EA2" w:rsidRDefault="00A70EA2" w:rsidP="00070D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BE7676F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A70EA2" w14:paraId="3BC37F8C" w14:textId="77777777" w:rsidTr="00070D2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E1026" w14:textId="77777777" w:rsidR="00A70EA2" w:rsidRPr="00070D2F" w:rsidRDefault="00A70EA2" w:rsidP="00070D2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E6ADA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6062084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41A0A0C" w14:textId="77777777" w:rsidR="00A70EA2" w:rsidRDefault="00A70EA2" w:rsidP="00070D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66003AA2" w14:textId="77777777" w:rsidR="00A70EA2" w:rsidRDefault="00A70EA2" w:rsidP="00070D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31D6559C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69F05B6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DAAC7E6" w14:textId="77777777" w:rsidR="00A70EA2" w:rsidRDefault="00A70EA2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6"/>
    </w:tbl>
    <w:p w14:paraId="754B67A0" w14:textId="77777777" w:rsidR="00BE7314" w:rsidRPr="00A70EA2" w:rsidRDefault="00BE7314" w:rsidP="00A70EA2"/>
    <w:sectPr w:rsidR="00BE7314" w:rsidRPr="00A70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BDFF" w14:textId="77777777" w:rsidR="00FA4FEA" w:rsidRDefault="00FA4FEA" w:rsidP="00FA4FEA">
      <w:pPr>
        <w:spacing w:after="0" w:line="240" w:lineRule="auto"/>
      </w:pPr>
      <w:r>
        <w:separator/>
      </w:r>
    </w:p>
  </w:endnote>
  <w:endnote w:type="continuationSeparator" w:id="0">
    <w:p w14:paraId="7B780A2B" w14:textId="77777777" w:rsidR="00FA4FEA" w:rsidRDefault="00FA4FEA" w:rsidP="00FA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B656" w14:textId="77777777" w:rsidR="00FA4FEA" w:rsidRDefault="00FA4FEA" w:rsidP="00FA4FEA">
      <w:pPr>
        <w:spacing w:after="0" w:line="240" w:lineRule="auto"/>
      </w:pPr>
      <w:r>
        <w:separator/>
      </w:r>
    </w:p>
  </w:footnote>
  <w:footnote w:type="continuationSeparator" w:id="0">
    <w:p w14:paraId="5EBF607C" w14:textId="77777777" w:rsidR="00FA4FEA" w:rsidRDefault="00FA4FEA" w:rsidP="00FA4FEA">
      <w:pPr>
        <w:spacing w:after="0" w:line="240" w:lineRule="auto"/>
      </w:pPr>
      <w:r>
        <w:continuationSeparator/>
      </w:r>
    </w:p>
  </w:footnote>
  <w:footnote w:id="1">
    <w:p w14:paraId="7D56A944" w14:textId="77777777" w:rsidR="00A70EA2" w:rsidRPr="00476959" w:rsidRDefault="00A70EA2" w:rsidP="00A70EA2">
      <w:pPr>
        <w:pStyle w:val="Textodenotaderodap"/>
        <w:rPr>
          <w:sz w:val="14"/>
          <w:szCs w:val="14"/>
        </w:rPr>
      </w:pPr>
      <w:r w:rsidRPr="00476959">
        <w:rPr>
          <w:rStyle w:val="Refdenotaderodap"/>
          <w:sz w:val="14"/>
          <w:szCs w:val="14"/>
        </w:rPr>
        <w:footnoteRef/>
      </w:r>
      <w:r w:rsidRPr="00476959">
        <w:rPr>
          <w:sz w:val="14"/>
          <w:szCs w:val="14"/>
        </w:rPr>
        <w:t xml:space="preserve"> Art. 7º da Lei 12.153/2009: “Não haverá prazo diferenciado para a prática de qualquer ato processual pelas pessoas jurídicas de direito público, inclusive a interposição de recursos, devendo a </w:t>
      </w:r>
      <w:r w:rsidRPr="00476959">
        <w:rPr>
          <w:b/>
          <w:bCs/>
          <w:sz w:val="14"/>
          <w:szCs w:val="14"/>
        </w:rPr>
        <w:t>citação para a audiência de conciliação ser efetuada com</w:t>
      </w:r>
      <w:r w:rsidRPr="00476959">
        <w:rPr>
          <w:sz w:val="14"/>
          <w:szCs w:val="14"/>
        </w:rPr>
        <w:t xml:space="preserve"> </w:t>
      </w:r>
      <w:r w:rsidRPr="00476959">
        <w:rPr>
          <w:b/>
          <w:sz w:val="14"/>
          <w:szCs w:val="14"/>
        </w:rPr>
        <w:t>antecedência mínima de 30 (trinta) dias</w:t>
      </w:r>
      <w:r>
        <w:rPr>
          <w:b/>
          <w:sz w:val="14"/>
          <w:szCs w:val="14"/>
        </w:rPr>
        <w:t>.</w:t>
      </w:r>
      <w:r w:rsidRPr="00476959">
        <w:rPr>
          <w:sz w:val="14"/>
          <w:szCs w:val="14"/>
        </w:rPr>
        <w:t>”.</w:t>
      </w:r>
    </w:p>
  </w:footnote>
  <w:footnote w:id="2">
    <w:p w14:paraId="00A89383" w14:textId="77777777" w:rsidR="00A70EA2" w:rsidRPr="007923C3" w:rsidRDefault="00A70EA2" w:rsidP="00A70EA2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bookmarkStart w:id="0" w:name="_Hlk148721708"/>
      <w:r>
        <w:rPr>
          <w:rFonts w:cs="Arial"/>
          <w:sz w:val="14"/>
          <w:szCs w:val="14"/>
        </w:rPr>
        <w:t xml:space="preserve">A audiência poderá ser realizada na modalidade presencial, semipresencial ou virtual (por videoconferência ou na forma </w:t>
      </w:r>
      <w:proofErr w:type="spellStart"/>
      <w:r>
        <w:rPr>
          <w:rFonts w:cs="Arial"/>
          <w:sz w:val="14"/>
          <w:szCs w:val="14"/>
        </w:rPr>
        <w:t>telepresencial</w:t>
      </w:r>
      <w:proofErr w:type="spellEnd"/>
      <w:r>
        <w:rPr>
          <w:rFonts w:cs="Arial"/>
          <w:sz w:val="14"/>
          <w:szCs w:val="14"/>
        </w:rPr>
        <w:t xml:space="preserve">), em conformidade com o disposto no </w:t>
      </w:r>
      <w:bookmarkStart w:id="1" w:name="_Hlk136003813"/>
      <w:r>
        <w:rPr>
          <w:rFonts w:cs="Arial"/>
          <w:sz w:val="14"/>
          <w:szCs w:val="14"/>
        </w:rPr>
        <w:t>art. 262 do Código de Normas do Foro Judicial do TJPR (Provimento nº 316/2022).</w:t>
      </w:r>
      <w:bookmarkEnd w:id="0"/>
      <w:bookmarkEnd w:id="1"/>
    </w:p>
  </w:footnote>
  <w:footnote w:id="3">
    <w:p w14:paraId="5E2FBB2A" w14:textId="77777777" w:rsidR="00A70EA2" w:rsidRPr="00EA71DC" w:rsidRDefault="00A70EA2" w:rsidP="00A70EA2">
      <w:pPr>
        <w:pStyle w:val="Textodenotaderodap"/>
        <w:rPr>
          <w:sz w:val="14"/>
          <w:szCs w:val="14"/>
        </w:rPr>
      </w:pPr>
      <w:r w:rsidRPr="00EA71DC">
        <w:rPr>
          <w:rStyle w:val="Refdenotaderodap"/>
          <w:sz w:val="14"/>
          <w:szCs w:val="14"/>
        </w:rPr>
        <w:footnoteRef/>
      </w:r>
      <w:r w:rsidRPr="00EA71DC">
        <w:rPr>
          <w:sz w:val="14"/>
          <w:szCs w:val="14"/>
        </w:rPr>
        <w:t xml:space="preserve"> </w:t>
      </w:r>
      <w:r w:rsidRPr="00EA71DC">
        <w:rPr>
          <w:rFonts w:cs="Arial"/>
          <w:color w:val="000000"/>
          <w:sz w:val="14"/>
          <w:szCs w:val="14"/>
        </w:rPr>
        <w:t xml:space="preserve">Caso as testemunhas não compareçam espontaneamente, as partes poderão arrolá-las e solicitar a intimação para </w:t>
      </w:r>
      <w:r>
        <w:rPr>
          <w:rFonts w:cs="Arial"/>
          <w:color w:val="000000"/>
          <w:sz w:val="14"/>
          <w:szCs w:val="14"/>
        </w:rPr>
        <w:t xml:space="preserve">que </w:t>
      </w:r>
      <w:r w:rsidRPr="00EA71DC">
        <w:rPr>
          <w:rFonts w:cs="Arial"/>
          <w:color w:val="000000"/>
          <w:sz w:val="14"/>
          <w:szCs w:val="14"/>
        </w:rPr>
        <w:t>elas compare</w:t>
      </w:r>
      <w:r>
        <w:rPr>
          <w:rFonts w:cs="Arial"/>
          <w:color w:val="000000"/>
          <w:sz w:val="14"/>
          <w:szCs w:val="14"/>
        </w:rPr>
        <w:t>çam</w:t>
      </w:r>
      <w:r w:rsidRPr="00EA71DC">
        <w:rPr>
          <w:rFonts w:cs="Arial"/>
          <w:color w:val="000000"/>
          <w:sz w:val="14"/>
          <w:szCs w:val="14"/>
        </w:rPr>
        <w:t xml:space="preserve"> por ordem judicial, no prazo de</w:t>
      </w:r>
      <w:r>
        <w:rPr>
          <w:rFonts w:cs="Arial"/>
          <w:color w:val="000000"/>
          <w:sz w:val="14"/>
          <w:szCs w:val="14"/>
        </w:rPr>
        <w:t xml:space="preserve"> até</w:t>
      </w:r>
      <w:r w:rsidRPr="00EA71DC">
        <w:rPr>
          <w:rFonts w:cs="Arial"/>
          <w:color w:val="000000"/>
          <w:sz w:val="14"/>
          <w:szCs w:val="14"/>
        </w:rPr>
        <w:t xml:space="preserve"> 5 (cinco) dias antes da data designada para a audiência de instrução e julgamento (art. 34, Lei 9.099/1995).</w:t>
      </w:r>
    </w:p>
  </w:footnote>
  <w:footnote w:id="4">
    <w:p w14:paraId="682C2B66" w14:textId="77777777" w:rsidR="00A70EA2" w:rsidRDefault="00A70EA2" w:rsidP="00A70EA2">
      <w:pPr>
        <w:pStyle w:val="Textodenotaderodap"/>
      </w:pPr>
      <w:r>
        <w:rPr>
          <w:rStyle w:val="Refdenotaderodap"/>
          <w:rFonts w:cs="Arial"/>
          <w:sz w:val="14"/>
          <w:szCs w:val="16"/>
        </w:rPr>
        <w:footnoteRef/>
      </w:r>
      <w:r>
        <w:rPr>
          <w:rFonts w:cs="Arial"/>
          <w:sz w:val="14"/>
          <w:szCs w:val="16"/>
        </w:rPr>
        <w:t xml:space="preserve"> Nos termos do </w:t>
      </w:r>
      <w:r>
        <w:rPr>
          <w:rFonts w:cs="Arial"/>
          <w:sz w:val="14"/>
          <w:szCs w:val="14"/>
        </w:rPr>
        <w:t>art. 261 do Código de Normas do Foro Judicial do TJPR (Provimento nº 316/2022)</w:t>
      </w:r>
      <w:r>
        <w:rPr>
          <w:rFonts w:cs="Arial"/>
          <w:sz w:val="14"/>
          <w:szCs w:val="16"/>
        </w:rPr>
        <w:t xml:space="preserve">, </w:t>
      </w:r>
      <w:r>
        <w:rPr>
          <w:rFonts w:cs="Arial"/>
          <w:sz w:val="14"/>
          <w:szCs w:val="16"/>
          <w:u w:val="single"/>
        </w:rPr>
        <w:t>audiência virtual</w:t>
      </w:r>
      <w:r>
        <w:rPr>
          <w:rFonts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; </w:t>
      </w:r>
      <w:r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cs="Arial"/>
          <w:sz w:val="14"/>
          <w:szCs w:val="16"/>
          <w:u w:val="single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 é o ato realizado a partir de ambiente físico externo às unidades judiciais; </w:t>
      </w:r>
      <w:r>
        <w:rPr>
          <w:rFonts w:cs="Arial"/>
          <w:sz w:val="14"/>
          <w:szCs w:val="16"/>
          <w:u w:val="single"/>
        </w:rPr>
        <w:t>audiência semipresencial</w:t>
      </w:r>
      <w:r>
        <w:rPr>
          <w:rFonts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EA"/>
    <w:rsid w:val="007808D5"/>
    <w:rsid w:val="007F778D"/>
    <w:rsid w:val="00836ECC"/>
    <w:rsid w:val="00A70EA2"/>
    <w:rsid w:val="00A813ED"/>
    <w:rsid w:val="00B11303"/>
    <w:rsid w:val="00BE7314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144"/>
  <w15:chartTrackingRefBased/>
  <w15:docId w15:val="{D526EC7C-3289-4232-A8ED-F93EBA16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E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FE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FE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4F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4FE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4FEA"/>
    <w:rPr>
      <w:vertAlign w:val="superscript"/>
    </w:rPr>
  </w:style>
  <w:style w:type="paragraph" w:styleId="Reviso">
    <w:name w:val="Revision"/>
    <w:hidden/>
    <w:uiPriority w:val="99"/>
    <w:semiHidden/>
    <w:rsid w:val="00A70EA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5</cp:revision>
  <dcterms:created xsi:type="dcterms:W3CDTF">2022-08-17T18:34:00Z</dcterms:created>
  <dcterms:modified xsi:type="dcterms:W3CDTF">2023-11-20T19:07:00Z</dcterms:modified>
</cp:coreProperties>
</file>