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2BDAE" w14:textId="77777777" w:rsidR="00EE5976" w:rsidRPr="00B62F8E" w:rsidRDefault="00EE5976" w:rsidP="00EE5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CF36725" w14:textId="77777777" w:rsidR="00EE5976" w:rsidRPr="00B62F8E" w:rsidRDefault="00EE5976" w:rsidP="00EE5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0C8D35A" w14:textId="77777777" w:rsidR="00EE5976" w:rsidRPr="00B62F8E" w:rsidRDefault="00EE5976" w:rsidP="00EE5976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3610687" w14:textId="77777777" w:rsidR="00EE5976" w:rsidRPr="00B62F8E" w:rsidRDefault="00EE5976" w:rsidP="00EE59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0C4432ED" w14:textId="77777777" w:rsidR="00EE5976" w:rsidRPr="00B62F8E" w:rsidRDefault="00EE5976" w:rsidP="00EE59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2F626552" w14:textId="77777777" w:rsidR="00EE5976" w:rsidRPr="00B62F8E" w:rsidRDefault="00EE5976" w:rsidP="00EE59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bookmarkEnd w:id="0"/>
    <w:p w14:paraId="6CD5CF9B" w14:textId="77777777" w:rsidR="00EE5976" w:rsidRPr="002F59D9" w:rsidRDefault="00EE5976" w:rsidP="00EE5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0693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C11B04" w14:textId="07926B26" w:rsidR="003C64C3" w:rsidRDefault="003C64C3" w:rsidP="003C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p w14:paraId="3820CE84" w14:textId="77777777" w:rsidR="00DD1ECA" w:rsidRPr="0050693E" w:rsidRDefault="00DD1ECA" w:rsidP="00DD1E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D9F5DA4" w14:textId="53194EB1" w:rsidR="00DD1ECA" w:rsidRDefault="00DD1ECA" w:rsidP="00DD1E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F54D7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45D8458D" w14:textId="77777777" w:rsidR="00DD1ECA" w:rsidRPr="0050693E" w:rsidRDefault="00DD1ECA" w:rsidP="00DD1E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4F11E6C" w14:textId="44647A75" w:rsidR="00DD1ECA" w:rsidRPr="009C3084" w:rsidRDefault="00DD1ECA" w:rsidP="00DD1E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267083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128D3CE" w14:textId="77777777" w:rsidR="00DD1ECA" w:rsidRPr="009C3084" w:rsidRDefault="00DD1ECA" w:rsidP="00DD1E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522CA7" w14:textId="77777777" w:rsidR="00DD1ECA" w:rsidRPr="00FD5EF9" w:rsidRDefault="00DD1ECA" w:rsidP="00DD1ECA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50693E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50693E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01F7EFD9" w14:textId="5C4F978B" w:rsidR="00D824AA" w:rsidRPr="00023ED3" w:rsidRDefault="00E14188" w:rsidP="00E14188">
      <w:pPr>
        <w:pStyle w:val="SemEspaamento"/>
        <w:rPr>
          <w:rFonts w:eastAsia="Times New Roman"/>
          <w:sz w:val="18"/>
          <w:szCs w:val="18"/>
        </w:rPr>
      </w:pPr>
      <w:r w:rsidRPr="00E14188">
        <w:rPr>
          <w:rFonts w:cs="Arial"/>
          <w:b/>
          <w:sz w:val="18"/>
          <w:szCs w:val="18"/>
        </w:rPr>
        <w:t xml:space="preserve">1.1. </w:t>
      </w:r>
      <w:r w:rsidR="00D824AA" w:rsidRPr="00023ED3">
        <w:rPr>
          <w:rFonts w:cs="Arial"/>
          <w:sz w:val="18"/>
          <w:szCs w:val="18"/>
        </w:rPr>
        <w:t xml:space="preserve">Procurar </w:t>
      </w:r>
      <w:proofErr w:type="gramStart"/>
      <w:r w:rsidR="00D824AA" w:rsidRPr="00023ED3">
        <w:rPr>
          <w:rFonts w:cs="Arial"/>
          <w:sz w:val="18"/>
          <w:szCs w:val="18"/>
        </w:rPr>
        <w:t>um(</w:t>
      </w:r>
      <w:proofErr w:type="gramEnd"/>
      <w:r w:rsidR="00D824AA" w:rsidRPr="00023ED3">
        <w:rPr>
          <w:rFonts w:cs="Arial"/>
          <w:sz w:val="18"/>
          <w:szCs w:val="18"/>
        </w:rPr>
        <w:t xml:space="preserve">a) </w:t>
      </w:r>
      <w:r w:rsidR="00D824AA" w:rsidRPr="0050693E">
        <w:rPr>
          <w:rFonts w:cs="Arial"/>
          <w:b/>
          <w:sz w:val="18"/>
          <w:szCs w:val="18"/>
        </w:rPr>
        <w:t>novo(a) advogado(a)</w:t>
      </w:r>
      <w:r w:rsidR="00D824AA" w:rsidRPr="00023ED3">
        <w:rPr>
          <w:rFonts w:cs="Arial"/>
          <w:sz w:val="18"/>
          <w:szCs w:val="18"/>
        </w:rPr>
        <w:t xml:space="preserve"> ou solicitar defensor(a) dativo(a), tendo em vista que houve a revogação/renúncia (desistência) do(a) anterior</w:t>
      </w:r>
      <w:r w:rsidR="00F10DA9">
        <w:rPr>
          <w:rFonts w:eastAsia="Times New Roman" w:cs="Arial"/>
          <w:sz w:val="18"/>
          <w:szCs w:val="18"/>
        </w:rPr>
        <w:t>;</w:t>
      </w:r>
    </w:p>
    <w:p w14:paraId="1FB90B9C" w14:textId="036F9AAD" w:rsidR="00D824AA" w:rsidRPr="00C649A5" w:rsidRDefault="00E14188" w:rsidP="00E14188">
      <w:pPr>
        <w:pStyle w:val="SemEspaamento"/>
        <w:rPr>
          <w:rFonts w:eastAsia="Times New Roman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1.2.</w:t>
      </w:r>
      <w:r w:rsidRPr="003C64C3">
        <w:rPr>
          <w:rFonts w:eastAsia="Times New Roman" w:cs="Arial"/>
          <w:bCs/>
          <w:sz w:val="18"/>
          <w:szCs w:val="18"/>
        </w:rPr>
        <w:t xml:space="preserve"> </w:t>
      </w:r>
      <w:r w:rsidR="00F54D72" w:rsidRPr="003C64C3">
        <w:rPr>
          <w:rFonts w:eastAsia="Times New Roman" w:cs="Arial"/>
          <w:bCs/>
          <w:sz w:val="18"/>
          <w:szCs w:val="18"/>
        </w:rPr>
        <w:t xml:space="preserve">Cumprir </w:t>
      </w:r>
      <w:r w:rsidR="00F54D72">
        <w:rPr>
          <w:rFonts w:eastAsia="Times New Roman" w:cs="Arial"/>
          <w:bCs/>
          <w:sz w:val="18"/>
          <w:szCs w:val="18"/>
        </w:rPr>
        <w:t xml:space="preserve">o determinado no item 1.1 </w:t>
      </w:r>
      <w:r w:rsidR="00F54D72">
        <w:rPr>
          <w:rFonts w:eastAsia="Times New Roman" w:cs="Arial"/>
          <w:sz w:val="18"/>
          <w:szCs w:val="18"/>
        </w:rPr>
        <w:t>n</w:t>
      </w:r>
      <w:r w:rsidRPr="00E14188">
        <w:rPr>
          <w:rFonts w:eastAsia="Times New Roman" w:cs="Arial"/>
          <w:sz w:val="18"/>
          <w:szCs w:val="18"/>
        </w:rPr>
        <w:t xml:space="preserve">o </w:t>
      </w:r>
      <w:r>
        <w:rPr>
          <w:rFonts w:eastAsia="Times New Roman" w:cs="Arial"/>
          <w:b/>
          <w:sz w:val="18"/>
          <w:szCs w:val="18"/>
        </w:rPr>
        <w:t>p</w:t>
      </w:r>
      <w:r w:rsidR="00D824AA" w:rsidRPr="006F1A3E">
        <w:rPr>
          <w:rFonts w:eastAsia="Times New Roman" w:cs="Arial"/>
          <w:b/>
          <w:sz w:val="18"/>
          <w:szCs w:val="18"/>
        </w:rPr>
        <w:t xml:space="preserve">razo </w:t>
      </w:r>
      <w:r>
        <w:rPr>
          <w:rFonts w:eastAsia="Times New Roman" w:cs="Arial"/>
          <w:b/>
          <w:sz w:val="18"/>
          <w:szCs w:val="18"/>
        </w:rPr>
        <w:t xml:space="preserve">de </w:t>
      </w:r>
      <w:r w:rsidRPr="006F1A3E">
        <w:rPr>
          <w:rFonts w:eastAsia="Times New Roman" w:cs="Arial"/>
          <w:b/>
          <w:sz w:val="18"/>
          <w:szCs w:val="18"/>
        </w:rPr>
        <w:t>15 (quinze) dias</w:t>
      </w:r>
      <w:r w:rsidR="00F54D72">
        <w:rPr>
          <w:rFonts w:eastAsia="Times New Roman" w:cs="Arial"/>
          <w:b/>
          <w:sz w:val="18"/>
          <w:szCs w:val="18"/>
        </w:rPr>
        <w:t xml:space="preserve"> </w:t>
      </w:r>
      <w:r w:rsidR="0049659C">
        <w:rPr>
          <w:rFonts w:eastAsia="Times New Roman" w:cs="Arial"/>
          <w:b/>
          <w:sz w:val="18"/>
          <w:szCs w:val="18"/>
        </w:rPr>
        <w:t>ú</w:t>
      </w:r>
      <w:r w:rsidR="00F54D72">
        <w:rPr>
          <w:rFonts w:eastAsia="Times New Roman" w:cs="Arial"/>
          <w:b/>
          <w:sz w:val="18"/>
          <w:szCs w:val="18"/>
        </w:rPr>
        <w:t>teis</w:t>
      </w:r>
      <w:r w:rsidRPr="0050693E">
        <w:rPr>
          <w:rFonts w:eastAsia="Times New Roman" w:cs="Arial"/>
          <w:sz w:val="18"/>
          <w:szCs w:val="18"/>
        </w:rPr>
        <w:t>,</w:t>
      </w:r>
      <w:r w:rsidRPr="006F1A3E">
        <w:rPr>
          <w:rFonts w:eastAsia="Times New Roman" w:cs="Arial"/>
          <w:color w:val="273BFD"/>
          <w:sz w:val="18"/>
          <w:szCs w:val="18"/>
        </w:rPr>
        <w:t xml:space="preserve"> </w:t>
      </w:r>
      <w:r w:rsidR="00D824AA" w:rsidRPr="006F1A3E">
        <w:rPr>
          <w:rFonts w:eastAsia="Times New Roman" w:cs="Arial"/>
          <w:sz w:val="18"/>
          <w:szCs w:val="18"/>
        </w:rPr>
        <w:t xml:space="preserve">a contar da data do recebimento desta </w:t>
      </w:r>
      <w:r w:rsidR="00F10DA9">
        <w:rPr>
          <w:rFonts w:eastAsia="Times New Roman" w:cs="Arial"/>
          <w:sz w:val="18"/>
          <w:szCs w:val="18"/>
        </w:rPr>
        <w:t>intimação</w:t>
      </w:r>
      <w:r w:rsidR="00D824AA" w:rsidRPr="006F1A3E">
        <w:rPr>
          <w:rFonts w:eastAsia="Times New Roman" w:cs="Arial"/>
          <w:sz w:val="18"/>
          <w:szCs w:val="18"/>
        </w:rPr>
        <w:t xml:space="preserve"> (Enunciado 13</w:t>
      </w:r>
      <w:r w:rsidR="00F54D72">
        <w:rPr>
          <w:rFonts w:eastAsia="Times New Roman" w:cs="Arial"/>
          <w:sz w:val="18"/>
          <w:szCs w:val="18"/>
        </w:rPr>
        <w:t>,</w:t>
      </w:r>
      <w:r w:rsidR="00D824AA" w:rsidRPr="006F1A3E">
        <w:rPr>
          <w:rFonts w:eastAsia="Times New Roman" w:cs="Arial"/>
          <w:sz w:val="18"/>
          <w:szCs w:val="18"/>
        </w:rPr>
        <w:t xml:space="preserve"> </w:t>
      </w:r>
      <w:proofErr w:type="spellStart"/>
      <w:r w:rsidR="00F15259" w:rsidRPr="006F1A3E">
        <w:rPr>
          <w:rFonts w:eastAsia="Times New Roman" w:cs="Arial"/>
          <w:sz w:val="18"/>
          <w:szCs w:val="18"/>
        </w:rPr>
        <w:t>F</w:t>
      </w:r>
      <w:r w:rsidR="00F15259">
        <w:rPr>
          <w:rFonts w:eastAsia="Times New Roman" w:cs="Arial"/>
          <w:sz w:val="18"/>
          <w:szCs w:val="18"/>
        </w:rPr>
        <w:t>onaje</w:t>
      </w:r>
      <w:proofErr w:type="spellEnd"/>
      <w:r w:rsidR="00D824AA" w:rsidRPr="006F1A3E">
        <w:rPr>
          <w:rFonts w:eastAsia="Times New Roman" w:cs="Arial"/>
          <w:sz w:val="18"/>
          <w:szCs w:val="18"/>
        </w:rPr>
        <w:t>).</w:t>
      </w:r>
    </w:p>
    <w:p w14:paraId="3C932A3E" w14:textId="77777777" w:rsidR="00F54D72" w:rsidRDefault="00F54D72" w:rsidP="00DD1ECA">
      <w:pPr>
        <w:pStyle w:val="SemEspaamento"/>
        <w:rPr>
          <w:b/>
          <w:sz w:val="18"/>
          <w:szCs w:val="18"/>
          <w:lang w:eastAsia="pt-BR"/>
        </w:rPr>
      </w:pPr>
    </w:p>
    <w:p w14:paraId="05F6BDF9" w14:textId="77777777" w:rsidR="0003267B" w:rsidRPr="0003267B" w:rsidRDefault="0003267B" w:rsidP="000326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2"/>
        </w:rPr>
      </w:pPr>
      <w:r w:rsidRPr="0003267B">
        <w:rPr>
          <w:rStyle w:val="Forte"/>
          <w:rFonts w:ascii="Arial" w:hAnsi="Arial" w:cs="Arial"/>
          <w:sz w:val="18"/>
          <w:szCs w:val="22"/>
        </w:rPr>
        <w:t>2. </w:t>
      </w:r>
      <w:r w:rsidRPr="0003267B">
        <w:rPr>
          <w:rStyle w:val="Forte"/>
          <w:rFonts w:ascii="Arial" w:hAnsi="Arial" w:cs="Arial"/>
          <w:sz w:val="18"/>
          <w:szCs w:val="22"/>
          <w:u w:val="single"/>
        </w:rPr>
        <w:t>ADVERTÊNCIA</w:t>
      </w:r>
      <w:r w:rsidRPr="0003267B">
        <w:rPr>
          <w:rFonts w:ascii="Arial" w:hAnsi="Arial" w:cs="Arial"/>
          <w:sz w:val="18"/>
          <w:szCs w:val="22"/>
        </w:rPr>
        <w:t xml:space="preserve"> de que:</w:t>
      </w:r>
      <w:bookmarkStart w:id="1" w:name="_GoBack"/>
      <w:bookmarkEnd w:id="1"/>
    </w:p>
    <w:p w14:paraId="65E2B3C0" w14:textId="77777777" w:rsidR="0003267B" w:rsidRPr="0003267B" w:rsidRDefault="0003267B" w:rsidP="000326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2"/>
        </w:rPr>
      </w:pPr>
      <w:r w:rsidRPr="0003267B">
        <w:rPr>
          <w:rFonts w:ascii="Arial" w:hAnsi="Arial" w:cs="Arial"/>
          <w:b/>
          <w:sz w:val="18"/>
          <w:szCs w:val="22"/>
        </w:rPr>
        <w:t>2.1.</w:t>
      </w:r>
      <w:r w:rsidRPr="0003267B">
        <w:rPr>
          <w:rFonts w:ascii="Arial" w:hAnsi="Arial" w:cs="Arial"/>
          <w:sz w:val="18"/>
          <w:szCs w:val="22"/>
        </w:rPr>
        <w:t xml:space="preserve"> Caso o valor da causa seja de até 20 (vinte) salários mínimos, o processo seguirá sem </w:t>
      </w:r>
      <w:proofErr w:type="gramStart"/>
      <w:r w:rsidRPr="0003267B">
        <w:rPr>
          <w:rFonts w:ascii="Arial" w:hAnsi="Arial" w:cs="Arial"/>
          <w:sz w:val="18"/>
          <w:szCs w:val="22"/>
        </w:rPr>
        <w:t>advogado(</w:t>
      </w:r>
      <w:proofErr w:type="gramEnd"/>
      <w:r w:rsidRPr="0003267B">
        <w:rPr>
          <w:rFonts w:ascii="Arial" w:hAnsi="Arial" w:cs="Arial"/>
          <w:sz w:val="18"/>
          <w:szCs w:val="22"/>
        </w:rPr>
        <w:t>a), se novo(a) não for constituído(a);</w:t>
      </w:r>
    </w:p>
    <w:p w14:paraId="4516B2BA" w14:textId="003D48FD" w:rsidR="0003267B" w:rsidRPr="0003267B" w:rsidRDefault="0003267B" w:rsidP="0003267B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18"/>
          <w:szCs w:val="22"/>
          <w:lang w:eastAsia="en-US"/>
        </w:rPr>
      </w:pPr>
      <w:r w:rsidRPr="0003267B">
        <w:rPr>
          <w:rFonts w:ascii="Arial" w:hAnsi="Arial" w:cs="Arial"/>
          <w:b/>
          <w:sz w:val="18"/>
          <w:szCs w:val="22"/>
        </w:rPr>
        <w:t>2.2.</w:t>
      </w:r>
      <w:r w:rsidRPr="0003267B">
        <w:rPr>
          <w:rFonts w:ascii="Arial" w:hAnsi="Arial" w:cs="Arial"/>
          <w:sz w:val="18"/>
          <w:szCs w:val="22"/>
        </w:rPr>
        <w:t xml:space="preserve"> Caso o valor da causa seja superior a 20 (vinte) salários mínimos</w:t>
      </w:r>
      <w:r w:rsidRPr="0003267B">
        <w:rPr>
          <w:rFonts w:ascii="Arial" w:hAnsi="Arial" w:cs="Arial"/>
          <w:noProof/>
          <w:sz w:val="18"/>
          <w:szCs w:val="22"/>
        </w:rPr>
        <w:t xml:space="preserve"> - </w:t>
      </w:r>
      <w:r w:rsidRPr="0003267B">
        <w:rPr>
          <w:rFonts w:ascii="Arial" w:hAnsi="Arial" w:cs="Arial"/>
          <w:sz w:val="18"/>
          <w:szCs w:val="22"/>
        </w:rPr>
        <w:t xml:space="preserve">hipótese em que a presença de </w:t>
      </w:r>
      <w:proofErr w:type="gramStart"/>
      <w:r w:rsidRPr="0003267B">
        <w:rPr>
          <w:rFonts w:ascii="Arial" w:hAnsi="Arial" w:cs="Arial"/>
          <w:sz w:val="18"/>
          <w:szCs w:val="22"/>
        </w:rPr>
        <w:t>advogado(</w:t>
      </w:r>
      <w:proofErr w:type="gramEnd"/>
      <w:r w:rsidRPr="0003267B">
        <w:rPr>
          <w:rFonts w:ascii="Arial" w:hAnsi="Arial" w:cs="Arial"/>
          <w:sz w:val="18"/>
          <w:szCs w:val="22"/>
        </w:rPr>
        <w:t>a) é obrigatória</w:t>
      </w:r>
      <w:r w:rsidRPr="0003267B">
        <w:rPr>
          <w:rFonts w:ascii="Arial" w:hAnsi="Arial" w:cs="Arial"/>
          <w:noProof/>
          <w:sz w:val="18"/>
          <w:szCs w:val="22"/>
        </w:rPr>
        <w:t xml:space="preserve"> -</w:t>
      </w:r>
      <w:r w:rsidRPr="0003267B">
        <w:rPr>
          <w:rFonts w:ascii="Arial" w:hAnsi="Arial" w:cs="Arial"/>
          <w:sz w:val="18"/>
          <w:szCs w:val="22"/>
        </w:rPr>
        <w:t>, o processo será extinto se não houver o cumprimento da intimação no prazo</w:t>
      </w:r>
      <w:r w:rsidR="00F15259">
        <w:rPr>
          <w:rFonts w:ascii="Arial" w:hAnsi="Arial" w:cs="Arial"/>
          <w:sz w:val="18"/>
          <w:szCs w:val="22"/>
        </w:rPr>
        <w:t xml:space="preserve"> </w:t>
      </w:r>
      <w:r w:rsidR="00F15259" w:rsidRPr="0003267B">
        <w:rPr>
          <w:rFonts w:ascii="Arial" w:hAnsi="Arial" w:cs="Arial"/>
          <w:sz w:val="18"/>
          <w:szCs w:val="22"/>
        </w:rPr>
        <w:t xml:space="preserve">(art. 76, </w:t>
      </w:r>
      <w:r w:rsidR="00F15259">
        <w:rPr>
          <w:rFonts w:ascii="Arial" w:hAnsi="Arial" w:cs="Arial"/>
          <w:sz w:val="18"/>
          <w:szCs w:val="22"/>
        </w:rPr>
        <w:t xml:space="preserve">§ 1º, </w:t>
      </w:r>
      <w:r w:rsidR="00F15259" w:rsidRPr="0003267B">
        <w:rPr>
          <w:rFonts w:ascii="Arial" w:hAnsi="Arial" w:cs="Arial"/>
          <w:sz w:val="18"/>
          <w:szCs w:val="22"/>
        </w:rPr>
        <w:t>inc. I, CPC)</w:t>
      </w:r>
      <w:r w:rsidRPr="0003267B">
        <w:rPr>
          <w:rFonts w:ascii="Arial" w:hAnsi="Arial" w:cs="Arial"/>
          <w:sz w:val="18"/>
          <w:szCs w:val="22"/>
        </w:rPr>
        <w:t>.</w:t>
      </w:r>
    </w:p>
    <w:p w14:paraId="658E7B0E" w14:textId="7967694C" w:rsidR="00DD1ECA" w:rsidRDefault="00DD1ECA" w:rsidP="00DD1ECA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4DA68C0" w14:textId="175AAAE2" w:rsidR="0049659C" w:rsidRDefault="0049659C" w:rsidP="004965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83401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565B5B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12E3604D" w14:textId="77777777" w:rsidR="0050693E" w:rsidRDefault="003C64C3" w:rsidP="003C64C3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5B095349" w14:textId="2B0C5346" w:rsidR="003C64C3" w:rsidRPr="002A0A2D" w:rsidRDefault="003C64C3" w:rsidP="003C64C3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0FCCED64" w14:textId="1E808855" w:rsidR="003C64C3" w:rsidRPr="00305494" w:rsidRDefault="003C64C3" w:rsidP="003C64C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50693E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0F3F8CC9" w14:textId="77777777" w:rsidR="00F54D72" w:rsidRDefault="00F54D72" w:rsidP="00DD1ECA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54F74194" w14:textId="43FAD7AE" w:rsidR="00EE5976" w:rsidRDefault="00EE5976" w:rsidP="00EE597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50693E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2C9BBFE1" w14:textId="77777777" w:rsidR="00EE5976" w:rsidRDefault="00EE5976" w:rsidP="00EE5976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E9843F4" w14:textId="77777777" w:rsidR="00F15259" w:rsidRDefault="00F15259" w:rsidP="00F15259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1273C66E" w14:textId="77777777" w:rsidR="00F15259" w:rsidRPr="00995BCF" w:rsidRDefault="00F15259" w:rsidP="00F15259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7E9014D1" w14:textId="77777777" w:rsidR="00F15259" w:rsidRPr="0074680E" w:rsidRDefault="00F15259" w:rsidP="00F1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0626B80D" w14:textId="0FE4DBDE" w:rsidR="0029372B" w:rsidRDefault="00F15259" w:rsidP="00EE5976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CF7E" w16cex:dateUtc="2022-11-04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10D47D" w16cid:durableId="270FCF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1BF6" w14:textId="77777777" w:rsidR="00DD1ECA" w:rsidRDefault="00DD1ECA" w:rsidP="00DD1ECA">
      <w:pPr>
        <w:spacing w:after="0" w:line="240" w:lineRule="auto"/>
      </w:pPr>
      <w:r>
        <w:separator/>
      </w:r>
    </w:p>
  </w:endnote>
  <w:endnote w:type="continuationSeparator" w:id="0">
    <w:p w14:paraId="1175A629" w14:textId="77777777" w:rsidR="00DD1ECA" w:rsidRDefault="00DD1ECA" w:rsidP="00DD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05E5" w14:textId="77777777" w:rsidR="00DD1ECA" w:rsidRDefault="00DD1ECA" w:rsidP="00DD1ECA">
      <w:pPr>
        <w:spacing w:after="0" w:line="240" w:lineRule="auto"/>
      </w:pPr>
      <w:r>
        <w:separator/>
      </w:r>
    </w:p>
  </w:footnote>
  <w:footnote w:type="continuationSeparator" w:id="0">
    <w:p w14:paraId="6FCA4763" w14:textId="77777777" w:rsidR="00DD1ECA" w:rsidRDefault="00DD1ECA" w:rsidP="00DD1ECA">
      <w:pPr>
        <w:spacing w:after="0" w:line="240" w:lineRule="auto"/>
      </w:pPr>
      <w:r>
        <w:continuationSeparator/>
      </w:r>
    </w:p>
  </w:footnote>
  <w:footnote w:id="1">
    <w:p w14:paraId="7636619C" w14:textId="37A5C876" w:rsidR="003C64C3" w:rsidRDefault="003C64C3" w:rsidP="003C64C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F15259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Conforme entendimento da CGJ/TJPR, mesmo que o corpo do mandado contenha endereços eletrônicos que possibilitem 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1F680E"/>
    <w:multiLevelType w:val="multilevel"/>
    <w:tmpl w:val="524220D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CA"/>
    <w:rsid w:val="0003267B"/>
    <w:rsid w:val="000848D3"/>
    <w:rsid w:val="000E618F"/>
    <w:rsid w:val="00231B75"/>
    <w:rsid w:val="00267083"/>
    <w:rsid w:val="0029372B"/>
    <w:rsid w:val="003C64C3"/>
    <w:rsid w:val="00483401"/>
    <w:rsid w:val="0049659C"/>
    <w:rsid w:val="0050693E"/>
    <w:rsid w:val="00565B5B"/>
    <w:rsid w:val="006D5C71"/>
    <w:rsid w:val="007808D5"/>
    <w:rsid w:val="007F778D"/>
    <w:rsid w:val="00851548"/>
    <w:rsid w:val="00881AB2"/>
    <w:rsid w:val="00C83267"/>
    <w:rsid w:val="00D824AA"/>
    <w:rsid w:val="00DD1ECA"/>
    <w:rsid w:val="00E14188"/>
    <w:rsid w:val="00EA4954"/>
    <w:rsid w:val="00EE5976"/>
    <w:rsid w:val="00F10DA9"/>
    <w:rsid w:val="00F15259"/>
    <w:rsid w:val="00F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0FA7"/>
  <w15:chartTrackingRefBased/>
  <w15:docId w15:val="{EE06A8F6-FAA4-43B2-863F-FADF7FE3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DD1ECA"/>
    <w:rPr>
      <w:vertAlign w:val="superscript"/>
    </w:rPr>
  </w:style>
  <w:style w:type="paragraph" w:styleId="SemEspaamento">
    <w:name w:val="No Spacing"/>
    <w:uiPriority w:val="1"/>
    <w:qFormat/>
    <w:rsid w:val="00DD1ECA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DD1ECA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F54D7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54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4D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4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D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59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2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22</cp:revision>
  <dcterms:created xsi:type="dcterms:W3CDTF">2022-07-07T20:31:00Z</dcterms:created>
  <dcterms:modified xsi:type="dcterms:W3CDTF">2023-11-13T19:09:00Z</dcterms:modified>
</cp:coreProperties>
</file>