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6BA" w14:textId="77777777" w:rsidR="00A85EA5" w:rsidRPr="00EB2FB5" w:rsidRDefault="00A85EA5" w:rsidP="00A85E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85B7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format</w:t>
      </w:r>
      <w:r w:rsidRPr="00EB2FB5">
        <w:rPr>
          <w:rFonts w:ascii="Arial" w:eastAsia="Times New Roman" w:hAnsi="Arial" w:cs="Arial"/>
          <w:sz w:val="18"/>
          <w:szCs w:val="18"/>
          <w:lang w:eastAsia="pt-BR"/>
        </w:rPr>
        <w:t>acaoModeloPadrao</w:t>
      </w:r>
      <w:proofErr w:type="spellEnd"/>
      <w:r w:rsidRPr="00EB2FB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A85EA5" w:rsidRPr="00EB2FB5" w:rsidRDefault="00A85EA5" w:rsidP="00A85E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B2FB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B2FB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A85EA5" w:rsidRPr="00EB2FB5" w:rsidRDefault="00A85EA5" w:rsidP="00A85E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B2FB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B2FB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A85EA5" w:rsidRPr="00EB2FB5" w14:paraId="24213699" w14:textId="77777777" w:rsidTr="00A85E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4F5D0702" w:rsidR="00A85EA5" w:rsidRPr="00EB2FB5" w:rsidRDefault="00A85EA5" w:rsidP="00A85EA5">
            <w:pPr>
              <w:spacing w:after="0" w:line="240" w:lineRule="auto"/>
              <w:divId w:val="1086611626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PROCESSO COM RÉU PRESO: </w:t>
            </w:r>
            <w:r w:rsidR="00E05649"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="00E05649"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processoPossuiReuPresoFormatado</w:t>
            </w:r>
            <w:proofErr w:type="spellEnd"/>
          </w:p>
        </w:tc>
      </w:tr>
      <w:tr w:rsidR="00A85EA5" w:rsidRPr="00EB2FB5" w14:paraId="2A6F92B2" w14:textId="77777777" w:rsidTr="00A85E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68A7E111" w:rsidR="00A85EA5" w:rsidRPr="00EB2FB5" w:rsidRDefault="00A85EA5" w:rsidP="00A85E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Urgente: </w:t>
            </w:r>
            <w:r w:rsidR="00826444"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="00826444"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mandadoUrgenteFormatado</w:t>
            </w:r>
            <w:proofErr w:type="spellEnd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</w:t>
            </w:r>
            <w:proofErr w:type="gramStart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if( $</w:t>
            </w:r>
            <w:proofErr w:type="gramEnd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!</w:t>
            </w:r>
            <w:proofErr w:type="spellStart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!= "" )( $!</w:t>
            </w:r>
            <w:proofErr w:type="spellStart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)#end</w:t>
            </w:r>
          </w:p>
        </w:tc>
      </w:tr>
      <w:tr w:rsidR="00A85EA5" w:rsidRPr="00EB2FB5" w14:paraId="271B56A7" w14:textId="77777777" w:rsidTr="00A85E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A85EA5" w:rsidRPr="00EB2FB5" w:rsidRDefault="00A85EA5" w:rsidP="00A85E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EB2F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</w:tr>
    </w:tbl>
    <w:p w14:paraId="2ED2FCE3" w14:textId="3E768E54" w:rsidR="00A85EA5" w:rsidRPr="00EB2FB5" w:rsidRDefault="00356FF3" w:rsidP="00A85E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B2FB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B2FB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EB2FB5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EB2FB5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EB2FB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EB2FB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A85EA5" w:rsidRPr="00EB2FB5">
        <w:rPr>
          <w:rFonts w:ascii="Arial" w:eastAsia="Times New Roman" w:hAnsi="Arial" w:cs="Arial"/>
          <w:lang w:eastAsia="pt-BR"/>
        </w:rPr>
        <w:br/>
      </w:r>
      <w:r w:rsidR="00A85EA5"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A85EA5"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A85EA5"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A85EA5"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A85EA5"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() != "" )- </w:t>
      </w:r>
      <w:bookmarkStart w:id="0" w:name="_Hlk108024341"/>
      <w:r w:rsidR="00A85EA5"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para cumprimento: $</w:t>
      </w:r>
      <w:proofErr w:type="spellStart"/>
      <w:r w:rsidR="00A85EA5"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A85EA5"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  <w:bookmarkEnd w:id="0"/>
    </w:p>
    <w:p w14:paraId="672A6659" w14:textId="77777777" w:rsidR="00A85EA5" w:rsidRPr="00EB2FB5" w:rsidRDefault="00A85EA5" w:rsidP="00A85E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A85EA5" w:rsidRPr="00EB2FB5" w:rsidRDefault="00A85EA5" w:rsidP="00A8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A85EA5" w:rsidRPr="00EB2FB5" w:rsidRDefault="00A85EA5" w:rsidP="00A8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285B7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[Vara de **COMPETÊNCIA DESTINATÁRIA**]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285B7B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77777777" w:rsidR="00A85EA5" w:rsidRPr="00EB2FB5" w:rsidRDefault="00A85EA5" w:rsidP="00A8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6ECAD1DF" w14:textId="77777777" w:rsidR="00285B7B" w:rsidRDefault="00285B7B" w:rsidP="00A85E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1F88C5F" w14:textId="77777777" w:rsidR="00285B7B" w:rsidRPr="00683FBD" w:rsidRDefault="00285B7B" w:rsidP="00285B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05765DB7" w14:textId="77777777" w:rsidR="00285B7B" w:rsidRDefault="00285B7B" w:rsidP="00A85E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20C4BBFD" w:rsidR="00A85EA5" w:rsidRPr="00EB2FB5" w:rsidRDefault="00A85EA5" w:rsidP="00A85E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285B7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PROCEDER à:</w:t>
      </w:r>
    </w:p>
    <w:p w14:paraId="7028C3EE" w14:textId="7E037406" w:rsidR="00B227E2" w:rsidRPr="00EB2FB5" w:rsidRDefault="00B227E2" w:rsidP="00B227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285B7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285B7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285B7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a testemunha acima qualificada para participar da </w:t>
      </w: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designada, a fim de ser tomado seu depoimento (art. 203 a 217, CPP)</w:t>
      </w:r>
      <w:r w:rsidR="00285B7B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6F1694F" w14:textId="77777777" w:rsidR="00B227E2" w:rsidRPr="00285B7B" w:rsidRDefault="00B227E2" w:rsidP="00B227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5661F29C" w14:textId="77777777" w:rsidR="00B227E2" w:rsidRPr="00285B7B" w:rsidRDefault="00B227E2" w:rsidP="00B227E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bookmarkStart w:id="1" w:name="_Hlk108024415"/>
      <w:r w:rsidRPr="00285B7B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bookmarkEnd w:id="1"/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285B7B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285B7B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01DEAF44" w14:textId="77777777" w:rsidR="00285B7B" w:rsidRDefault="00285B7B" w:rsidP="00B227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6167004" w14:textId="7BECE61E" w:rsidR="00285B7B" w:rsidRDefault="00B227E2" w:rsidP="00B227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285B7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285B7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EB2FB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285B7B" w:rsidRPr="00EB2FB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 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285B7B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85B7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285B7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>regularmente intimada</w:t>
      </w:r>
      <w:r w:rsidR="00B51CBF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a testemunha deixar de comparecer sem motivo justificado, o(a) Juiz(</w:t>
      </w:r>
      <w:proofErr w:type="spellStart"/>
      <w:r w:rsidRPr="00285B7B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) poderá requisitar </w:t>
      </w:r>
      <w:r w:rsidR="00285B7B" w:rsidRPr="00683FBD">
        <w:rPr>
          <w:rFonts w:ascii="Arial" w:eastAsia="Times New Roman" w:hAnsi="Arial" w:cs="Arial"/>
          <w:sz w:val="18"/>
          <w:szCs w:val="18"/>
          <w:lang w:eastAsia="pt-BR"/>
        </w:rPr>
        <w:t>a sua apresentação</w:t>
      </w:r>
      <w:r w:rsidR="00285B7B"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à autoridade policial ou determinar </w:t>
      </w:r>
      <w:r w:rsidR="00285B7B">
        <w:rPr>
          <w:rFonts w:ascii="Arial" w:eastAsia="Times New Roman" w:hAnsi="Arial" w:cs="Arial"/>
          <w:sz w:val="18"/>
          <w:szCs w:val="18"/>
          <w:lang w:eastAsia="pt-BR"/>
        </w:rPr>
        <w:t xml:space="preserve">que 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>seja conduzida por oficial de justiça, que poderá solicitar o auxílio da força pública (art. 218, CPP). Poderá</w:t>
      </w:r>
      <w:r w:rsidR="00285B7B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ainda</w:t>
      </w:r>
      <w:r w:rsidR="00285B7B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ser aplicada</w:t>
      </w:r>
      <w:r w:rsidR="00285B7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85B7B" w:rsidRPr="00683FBD">
        <w:rPr>
          <w:rFonts w:ascii="Arial" w:eastAsia="Times New Roman" w:hAnsi="Arial" w:cs="Arial"/>
          <w:sz w:val="18"/>
          <w:szCs w:val="18"/>
          <w:lang w:eastAsia="pt-BR"/>
        </w:rPr>
        <w:t>multa</w:t>
      </w:r>
      <w:r w:rsidRPr="00285B7B">
        <w:rPr>
          <w:rFonts w:ascii="Arial" w:eastAsia="Times New Roman" w:hAnsi="Arial" w:cs="Arial"/>
          <w:sz w:val="18"/>
          <w:szCs w:val="18"/>
          <w:lang w:eastAsia="pt-BR"/>
        </w:rPr>
        <w:t xml:space="preserve"> à testemunha faltosa, sem prejuízo do processo penal por crime de desobediência, e condená-la ao pagamento das custas da diligência (art. 219, CPP)</w:t>
      </w:r>
      <w:r w:rsidR="00285B7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84EEF7D" w14:textId="77777777" w:rsidR="00285B7B" w:rsidRDefault="00285B7B" w:rsidP="00B227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467A9C" w14:textId="77777777" w:rsidR="00285B7B" w:rsidRPr="003D2BFB" w:rsidRDefault="00285B7B" w:rsidP="00285B7B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3</w:t>
      </w:r>
      <w:r w:rsidRPr="003D2BFB">
        <w:rPr>
          <w:rFonts w:cs="Arial"/>
          <w:b/>
          <w:bCs/>
          <w:sz w:val="18"/>
          <w:szCs w:val="18"/>
        </w:rPr>
        <w:t xml:space="preserve">. </w:t>
      </w:r>
      <w:r w:rsidRPr="003D2BFB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3D2BFB">
        <w:rPr>
          <w:rStyle w:val="normaltextrun"/>
          <w:rFonts w:cs="Arial"/>
          <w:sz w:val="18"/>
          <w:szCs w:val="18"/>
        </w:rPr>
        <w:t xml:space="preserve"> </w:t>
      </w:r>
      <w:r w:rsidRPr="003D2BFB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05DA713E" w14:textId="77777777" w:rsidR="00285B7B" w:rsidRPr="003D2BFB" w:rsidRDefault="00285B7B" w:rsidP="00285B7B">
      <w:pPr>
        <w:pStyle w:val="SemEspaamento"/>
        <w:rPr>
          <w:rFonts w:cs="Arial"/>
          <w:bCs/>
          <w:sz w:val="18"/>
          <w:szCs w:val="18"/>
        </w:rPr>
      </w:pPr>
      <w:r w:rsidRPr="003D2BFB">
        <w:rPr>
          <w:rFonts w:cs="Arial"/>
          <w:bCs/>
          <w:sz w:val="18"/>
          <w:szCs w:val="18"/>
        </w:rPr>
        <w:t>TELEFONE CELULAR (___</w:t>
      </w:r>
      <w:proofErr w:type="gramStart"/>
      <w:r w:rsidRPr="003D2BFB">
        <w:rPr>
          <w:rFonts w:cs="Arial"/>
          <w:bCs/>
          <w:sz w:val="18"/>
          <w:szCs w:val="18"/>
        </w:rPr>
        <w:t>_)_</w:t>
      </w:r>
      <w:proofErr w:type="gramEnd"/>
      <w:r w:rsidRPr="003D2BFB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D2BFB">
        <w:rPr>
          <w:rFonts w:cs="Arial"/>
          <w:bCs/>
          <w:sz w:val="18"/>
          <w:szCs w:val="18"/>
        </w:rPr>
        <w:t xml:space="preserve">(  </w:t>
      </w:r>
      <w:proofErr w:type="gramEnd"/>
      <w:r w:rsidRPr="003D2BFB">
        <w:rPr>
          <w:rFonts w:cs="Arial"/>
          <w:bCs/>
          <w:sz w:val="18"/>
          <w:szCs w:val="18"/>
        </w:rPr>
        <w:t xml:space="preserve"> ) SIM (   ) NÃO</w:t>
      </w:r>
    </w:p>
    <w:p w14:paraId="2836FE57" w14:textId="77777777" w:rsidR="00285B7B" w:rsidRPr="003D2BFB" w:rsidRDefault="00285B7B" w:rsidP="00285B7B">
      <w:pPr>
        <w:pStyle w:val="SemEspaamento"/>
        <w:rPr>
          <w:rFonts w:cs="Arial"/>
          <w:bCs/>
          <w:sz w:val="18"/>
          <w:szCs w:val="18"/>
        </w:rPr>
      </w:pPr>
      <w:r w:rsidRPr="003D2BFB">
        <w:rPr>
          <w:rFonts w:cs="Arial"/>
          <w:bCs/>
          <w:sz w:val="18"/>
          <w:szCs w:val="18"/>
        </w:rPr>
        <w:t>E-MAIL _________________________________________________</w:t>
      </w:r>
    </w:p>
    <w:p w14:paraId="06A52EA1" w14:textId="63FC6DB5" w:rsidR="00B227E2" w:rsidRPr="00285B7B" w:rsidRDefault="00285B7B" w:rsidP="00285B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D2BFB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D2BFB">
        <w:rPr>
          <w:rFonts w:ascii="Arial" w:hAnsi="Arial" w:cs="Arial"/>
          <w:bCs/>
          <w:sz w:val="18"/>
          <w:szCs w:val="18"/>
        </w:rPr>
        <w:t>também</w:t>
      </w:r>
      <w:r w:rsidRPr="003D2BFB">
        <w:rPr>
          <w:rFonts w:ascii="Arial" w:eastAsia="Times New Roman" w:hAnsi="Arial" w:cs="Arial"/>
          <w:sz w:val="18"/>
          <w:szCs w:val="18"/>
        </w:rPr>
        <w:t xml:space="preserve"> d</w:t>
      </w:r>
      <w:r w:rsidRPr="003D2BFB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D2BFB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9FA95CE" w14:textId="77777777" w:rsidR="00B227E2" w:rsidRPr="00285B7B" w:rsidRDefault="00B227E2" w:rsidP="00B227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3" w:name="_Hlk108024466"/>
    </w:p>
    <w:p w14:paraId="6820AE97" w14:textId="77777777" w:rsidR="00285B7B" w:rsidRPr="00683FBD" w:rsidRDefault="00285B7B" w:rsidP="00285B7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EM CASO DE AUDIÊNCIA NA MODALIDADE VIRTUAL</w:t>
      </w:r>
      <w:r w:rsidRPr="00683FBD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, DEVE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PROCEDER À</w:t>
      </w: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p w14:paraId="48D6B7AA" w14:textId="2397B585" w:rsidR="00285B7B" w:rsidRDefault="00285B7B" w:rsidP="0028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7050C24E" w14:textId="77777777" w:rsidR="00285B7B" w:rsidRPr="00683FBD" w:rsidRDefault="00285B7B" w:rsidP="00285B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 w:rsidRPr="00683FBD" w:rsidDel="00FF2D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653B2A76" w14:textId="77777777" w:rsidR="00285B7B" w:rsidRDefault="00285B7B" w:rsidP="00285B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</w:t>
      </w:r>
    </w:p>
    <w:p w14:paraId="29D8E216" w14:textId="77777777" w:rsidR="00285B7B" w:rsidRDefault="00285B7B" w:rsidP="00285B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970AD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5970AD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, deve informar imediatamente a situação ao(à) Oficial de Justiça cumpridor(a) da diligência ou à Secretaria da Unidade Judiciária deprecada, que orientará a respeito da possibilidade de disponibilização de sala equipada para realização da audiência por videoconferência em sua sede, na data e hora marcadas, devendo comparecer com antecedência mínima de 30 (trinta) minutos e levar um documento de identificação com foto;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0662B15" w14:textId="77777777" w:rsidR="00285B7B" w:rsidRDefault="00285B7B" w:rsidP="00285B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as Secretarias das Unidades Judiciárias deprecante ou deprecada e solicitar a remarcação;</w:t>
      </w:r>
    </w:p>
    <w:p w14:paraId="4ABBFC8D" w14:textId="38319007" w:rsidR="00285B7B" w:rsidRDefault="00285B7B" w:rsidP="00B227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683FBD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submetendo-se ao controle judicial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bookmarkEnd w:id="3"/>
    <w:p w14:paraId="06BE3276" w14:textId="77777777" w:rsidR="00B227E2" w:rsidRPr="00EB2FB5" w:rsidRDefault="00B227E2" w:rsidP="00B22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A29BC7" w14:textId="77777777" w:rsidR="00B227E2" w:rsidRPr="00EB2FB5" w:rsidRDefault="00B227E2" w:rsidP="00B227E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249EF081" w14:textId="77777777" w:rsidR="002B1DD0" w:rsidRPr="00EB2FB5" w:rsidRDefault="00B227E2" w:rsidP="007073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pt-BR"/>
        </w:rPr>
      </w:pPr>
      <w:r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B2FB5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EB2FB5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B2FB5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</w:t>
      </w:r>
      <w:proofErr w:type="spellStart"/>
      <w:r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projudi</w:t>
      </w:r>
      <w:proofErr w:type="spellEnd"/>
      <w:r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/</w:t>
      </w:r>
      <w:r w:rsidRPr="00EB2FB5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EB2FB5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  <w:r w:rsidR="002B1DD0" w:rsidRPr="00EB2FB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</w:p>
    <w:p w14:paraId="632B8222" w14:textId="5FD8EF59" w:rsidR="002B1DD0" w:rsidRDefault="002B1DD0" w:rsidP="002B1DD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4ED1916" w14:textId="77777777" w:rsidR="00285B7B" w:rsidRPr="00683FBD" w:rsidRDefault="00285B7B" w:rsidP="00285B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POSSUI DÚVIDAS?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683FBD">
        <w:rPr>
          <w:rFonts w:ascii="Arial" w:hAnsi="Arial" w:cs="Arial"/>
          <w:sz w:val="18"/>
          <w:szCs w:val="18"/>
        </w:rPr>
        <w:t xml:space="preserve">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683FBD">
        <w:rPr>
          <w:rFonts w:ascii="Arial" w:eastAsia="Arial" w:hAnsi="Arial" w:cs="Arial"/>
          <w:sz w:val="18"/>
          <w:szCs w:val="18"/>
        </w:rPr>
        <w:t>por meio de uma das seguintes formas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683FBD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683FB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683FB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66E818F6" w14:textId="77777777" w:rsidR="00285B7B" w:rsidRPr="00683FBD" w:rsidRDefault="00285B7B" w:rsidP="00285B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128981" w14:textId="77777777" w:rsidR="00285B7B" w:rsidRPr="00683FBD" w:rsidRDefault="00285B7B" w:rsidP="00285B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285B7B" w:rsidRPr="00683FBD" w14:paraId="25162A3E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0888" w14:textId="77777777" w:rsidR="00285B7B" w:rsidRPr="00683FBD" w:rsidRDefault="00285B7B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6D7E2E2F" w14:textId="77777777" w:rsidR="00285B7B" w:rsidRPr="00683FBD" w:rsidRDefault="00285B7B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EA6C1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59100052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55E92B32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B005116" w14:textId="3A1AEB91" w:rsidR="00B34A18" w:rsidRPr="002B726F" w:rsidRDefault="00B34A18" w:rsidP="00B34A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6D2AFC19" w14:textId="463394B4" w:rsidR="00285B7B" w:rsidRPr="00683FBD" w:rsidRDefault="00B34A18" w:rsidP="00B34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285B7B" w:rsidRPr="00683FBD" w14:paraId="1BFFB096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F5A5F" w14:textId="77777777" w:rsidR="00285B7B" w:rsidRPr="00683FBD" w:rsidRDefault="00285B7B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AE427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1AF6664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60F7C2F9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1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2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3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285B7B" w:rsidRPr="00683FBD" w14:paraId="5091ABD4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63413" w14:textId="77777777" w:rsidR="00285B7B" w:rsidRPr="00683FBD" w:rsidRDefault="00285B7B" w:rsidP="00683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87E9D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320E3257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65ADFD42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5ED9BC05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620EECFF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1A6E307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2A606F11" w14:textId="77777777" w:rsidR="00285B7B" w:rsidRPr="00683FBD" w:rsidRDefault="00285B7B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5DAB6C7B" w14:textId="5448C317" w:rsidR="005F7244" w:rsidRPr="00EB2FB5" w:rsidRDefault="005F7244" w:rsidP="00EB2F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5F7244" w:rsidRPr="00EB2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0903" w14:textId="77777777" w:rsidR="00B227E2" w:rsidRDefault="00B227E2" w:rsidP="00B227E2">
      <w:pPr>
        <w:spacing w:after="0" w:line="240" w:lineRule="auto"/>
      </w:pPr>
      <w:r>
        <w:separator/>
      </w:r>
    </w:p>
  </w:endnote>
  <w:endnote w:type="continuationSeparator" w:id="0">
    <w:p w14:paraId="68827754" w14:textId="77777777" w:rsidR="00B227E2" w:rsidRDefault="00B227E2" w:rsidP="00B2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FEB9" w14:textId="77777777" w:rsidR="00B227E2" w:rsidRDefault="00B227E2" w:rsidP="00B227E2">
      <w:pPr>
        <w:spacing w:after="0" w:line="240" w:lineRule="auto"/>
      </w:pPr>
      <w:r>
        <w:separator/>
      </w:r>
    </w:p>
  </w:footnote>
  <w:footnote w:type="continuationSeparator" w:id="0">
    <w:p w14:paraId="75C5F378" w14:textId="77777777" w:rsidR="00B227E2" w:rsidRDefault="00B227E2" w:rsidP="00B227E2">
      <w:pPr>
        <w:spacing w:after="0" w:line="240" w:lineRule="auto"/>
      </w:pPr>
      <w:r>
        <w:continuationSeparator/>
      </w:r>
    </w:p>
  </w:footnote>
  <w:footnote w:id="1">
    <w:p w14:paraId="75249587" w14:textId="698725EF" w:rsidR="00B227E2" w:rsidRPr="002B1DD0" w:rsidRDefault="00B227E2" w:rsidP="00B227E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B2FB5">
        <w:rPr>
          <w:rStyle w:val="Refdenotaderodap"/>
          <w:rFonts w:ascii="Arial" w:hAnsi="Arial" w:cs="Arial"/>
          <w:sz w:val="14"/>
          <w:szCs w:val="14"/>
        </w:rPr>
        <w:footnoteRef/>
      </w:r>
      <w:r w:rsidRPr="00EB2FB5">
        <w:rPr>
          <w:rFonts w:ascii="Arial" w:hAnsi="Arial" w:cs="Arial"/>
          <w:sz w:val="14"/>
          <w:szCs w:val="14"/>
        </w:rPr>
        <w:t xml:space="preserve"> </w:t>
      </w:r>
      <w:r w:rsidR="00285B7B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285B7B">
        <w:rPr>
          <w:rFonts w:ascii="Arial" w:hAnsi="Arial" w:cs="Arial"/>
          <w:sz w:val="14"/>
          <w:szCs w:val="14"/>
        </w:rPr>
        <w:t xml:space="preserve"> (</w:t>
      </w:r>
      <w:r w:rsidR="00285B7B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285B7B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285B7B">
        <w:rPr>
          <w:rFonts w:ascii="Arial" w:hAnsi="Arial" w:cs="Arial"/>
          <w:sz w:val="14"/>
          <w:szCs w:val="14"/>
        </w:rPr>
        <w:t>)</w:t>
      </w:r>
      <w:r w:rsidR="00285B7B" w:rsidRPr="001E5260">
        <w:rPr>
          <w:rFonts w:ascii="Arial" w:hAnsi="Arial" w:cs="Arial"/>
          <w:sz w:val="14"/>
          <w:szCs w:val="14"/>
        </w:rPr>
        <w:t xml:space="preserve">, </w:t>
      </w:r>
      <w:r w:rsidR="00285B7B">
        <w:rPr>
          <w:rFonts w:ascii="Arial" w:hAnsi="Arial" w:cs="Arial"/>
          <w:sz w:val="14"/>
          <w:szCs w:val="14"/>
        </w:rPr>
        <w:t xml:space="preserve">em conformidade com </w:t>
      </w:r>
      <w:r w:rsidR="00285B7B" w:rsidRPr="001E5260">
        <w:rPr>
          <w:rFonts w:ascii="Arial" w:hAnsi="Arial" w:cs="Arial"/>
          <w:sz w:val="14"/>
          <w:szCs w:val="14"/>
        </w:rPr>
        <w:t>o</w:t>
      </w:r>
      <w:r w:rsidR="00285B7B">
        <w:rPr>
          <w:rFonts w:ascii="Arial" w:hAnsi="Arial" w:cs="Arial"/>
          <w:sz w:val="14"/>
          <w:szCs w:val="14"/>
        </w:rPr>
        <w:t xml:space="preserve"> disposto no</w:t>
      </w:r>
      <w:r w:rsidR="00285B7B" w:rsidRPr="001E5260">
        <w:rPr>
          <w:rFonts w:ascii="Arial" w:hAnsi="Arial" w:cs="Arial"/>
          <w:sz w:val="14"/>
          <w:szCs w:val="14"/>
        </w:rPr>
        <w:t xml:space="preserve"> </w:t>
      </w:r>
      <w:bookmarkStart w:id="2" w:name="_Hlk136003813"/>
      <w:r w:rsidR="00285B7B">
        <w:rPr>
          <w:rFonts w:ascii="Arial" w:hAnsi="Arial" w:cs="Arial"/>
          <w:sz w:val="14"/>
          <w:szCs w:val="14"/>
        </w:rPr>
        <w:t xml:space="preserve">art. 262 do </w:t>
      </w:r>
      <w:r w:rsidR="00285B7B" w:rsidRPr="007523FF">
        <w:rPr>
          <w:rFonts w:ascii="Arial" w:hAnsi="Arial" w:cs="Arial"/>
          <w:sz w:val="14"/>
          <w:szCs w:val="14"/>
        </w:rPr>
        <w:t>Código de Normas do Foro Judicial</w:t>
      </w:r>
      <w:r w:rsidR="00285B7B">
        <w:rPr>
          <w:rFonts w:ascii="Arial" w:hAnsi="Arial" w:cs="Arial"/>
          <w:sz w:val="14"/>
          <w:szCs w:val="14"/>
        </w:rPr>
        <w:t xml:space="preserve"> </w:t>
      </w:r>
      <w:r w:rsidR="00285B7B" w:rsidRPr="001E5260">
        <w:rPr>
          <w:rFonts w:ascii="Arial" w:hAnsi="Arial" w:cs="Arial"/>
          <w:sz w:val="14"/>
          <w:szCs w:val="14"/>
        </w:rPr>
        <w:t>do TJPR</w:t>
      </w:r>
      <w:r w:rsidR="00285B7B">
        <w:rPr>
          <w:rFonts w:ascii="Arial" w:hAnsi="Arial" w:cs="Arial"/>
          <w:sz w:val="14"/>
          <w:szCs w:val="14"/>
        </w:rPr>
        <w:t xml:space="preserve"> (Provimento</w:t>
      </w:r>
      <w:r w:rsidR="00285B7B" w:rsidRPr="001E5260">
        <w:rPr>
          <w:rFonts w:ascii="Arial" w:hAnsi="Arial" w:cs="Arial"/>
          <w:sz w:val="14"/>
          <w:szCs w:val="14"/>
        </w:rPr>
        <w:t xml:space="preserve"> nº </w:t>
      </w:r>
      <w:r w:rsidR="00285B7B">
        <w:rPr>
          <w:rFonts w:ascii="Arial" w:hAnsi="Arial" w:cs="Arial"/>
          <w:sz w:val="14"/>
          <w:szCs w:val="14"/>
        </w:rPr>
        <w:t>316</w:t>
      </w:r>
      <w:r w:rsidR="00285B7B" w:rsidRPr="001E5260">
        <w:rPr>
          <w:rFonts w:ascii="Arial" w:hAnsi="Arial" w:cs="Arial"/>
          <w:sz w:val="14"/>
          <w:szCs w:val="14"/>
        </w:rPr>
        <w:t>/202</w:t>
      </w:r>
      <w:r w:rsidR="00285B7B">
        <w:rPr>
          <w:rFonts w:ascii="Arial" w:hAnsi="Arial" w:cs="Arial"/>
          <w:sz w:val="14"/>
          <w:szCs w:val="14"/>
        </w:rPr>
        <w:t>2)</w:t>
      </w:r>
      <w:r w:rsidR="00285B7B" w:rsidRPr="001E5260">
        <w:rPr>
          <w:rFonts w:ascii="Arial" w:hAnsi="Arial" w:cs="Arial"/>
          <w:sz w:val="14"/>
          <w:szCs w:val="14"/>
        </w:rPr>
        <w:t>.</w:t>
      </w:r>
      <w:bookmarkEnd w:id="2"/>
    </w:p>
  </w:footnote>
  <w:footnote w:id="2">
    <w:p w14:paraId="19F75867" w14:textId="388297AB" w:rsidR="00285B7B" w:rsidRDefault="00285B7B" w:rsidP="00285B7B">
      <w:pPr>
        <w:pStyle w:val="Textodenotaderodap"/>
        <w:jc w:val="both"/>
      </w:pPr>
      <w:r w:rsidRPr="00683FBD">
        <w:rPr>
          <w:rStyle w:val="Refdenotaderodap"/>
          <w:rFonts w:ascii="Arial" w:hAnsi="Arial" w:cs="Arial"/>
          <w:sz w:val="14"/>
          <w:szCs w:val="14"/>
        </w:rPr>
        <w:footnoteRef/>
      </w:r>
      <w:r w:rsidRPr="00820ECE">
        <w:rPr>
          <w:rFonts w:ascii="Arial" w:hAnsi="Arial" w:cs="Arial"/>
          <w:sz w:val="16"/>
          <w:szCs w:val="16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>Nos termos</w:t>
      </w:r>
      <w:r w:rsidR="005F7244">
        <w:rPr>
          <w:rFonts w:ascii="Arial" w:hAnsi="Arial" w:cs="Arial"/>
          <w:sz w:val="14"/>
          <w:szCs w:val="16"/>
        </w:rPr>
        <w:t xml:space="preserve"> do</w:t>
      </w:r>
      <w:r w:rsidRPr="001E5260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A5"/>
    <w:rsid w:val="000E7E0F"/>
    <w:rsid w:val="00285B7B"/>
    <w:rsid w:val="002B1DD0"/>
    <w:rsid w:val="00356FF3"/>
    <w:rsid w:val="005F7244"/>
    <w:rsid w:val="00707361"/>
    <w:rsid w:val="00826444"/>
    <w:rsid w:val="00916750"/>
    <w:rsid w:val="00951A5D"/>
    <w:rsid w:val="00961113"/>
    <w:rsid w:val="00A85EA5"/>
    <w:rsid w:val="00B227E2"/>
    <w:rsid w:val="00B34A18"/>
    <w:rsid w:val="00B51CBF"/>
    <w:rsid w:val="00E05649"/>
    <w:rsid w:val="00EB2FB5"/>
    <w:rsid w:val="382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8C31"/>
  <w15:chartTrackingRefBased/>
  <w15:docId w15:val="{8571D4CA-CAE5-4EE1-8AA3-7733A281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FF3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B227E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27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27E2"/>
    <w:rPr>
      <w:sz w:val="20"/>
      <w:szCs w:val="20"/>
    </w:rPr>
  </w:style>
  <w:style w:type="character" w:customStyle="1" w:styleId="normaltextrun">
    <w:name w:val="normaltextrun"/>
    <w:basedOn w:val="Fontepargpadro"/>
    <w:rsid w:val="00285B7B"/>
  </w:style>
  <w:style w:type="paragraph" w:styleId="SemEspaamento">
    <w:name w:val="No Spacing"/>
    <w:uiPriority w:val="1"/>
    <w:qFormat/>
    <w:rsid w:val="00285B7B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28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285B7B"/>
  </w:style>
  <w:style w:type="character" w:styleId="Hyperlink">
    <w:name w:val="Hyperlink"/>
    <w:basedOn w:val="Fontepargpadro"/>
    <w:uiPriority w:val="99"/>
    <w:unhideWhenUsed/>
    <w:rsid w:val="00285B7B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5F7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332E1-572D-48AE-8C67-1E3F6E28D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6D9B4-C14F-4E67-B24A-87C4D5C54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898EB-E8AE-46A1-B28D-7486B2EC58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14</cp:revision>
  <dcterms:created xsi:type="dcterms:W3CDTF">2021-10-25T16:54:00Z</dcterms:created>
  <dcterms:modified xsi:type="dcterms:W3CDTF">2024-04-12T19:04:00Z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