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23D19" w14:textId="3EE7B4A2" w:rsidR="000A57C5" w:rsidRPr="000A57C5" w:rsidRDefault="000A57C5" w:rsidP="000A5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7C5">
        <w:rPr>
          <w:rFonts w:eastAsia="Times New Roman" w:cs="Arial"/>
          <w:sz w:val="18"/>
          <w:szCs w:val="18"/>
          <w:lang w:eastAsia="pt-BR"/>
        </w:rPr>
        <w:t>$formatacaoModeloPadrao</w:t>
      </w:r>
    </w:p>
    <w:p w14:paraId="4D6E8E4C" w14:textId="77777777" w:rsidR="000A57C5" w:rsidRPr="000A57C5" w:rsidRDefault="000A57C5" w:rsidP="000A57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7C5">
        <w:rPr>
          <w:rFonts w:eastAsia="Times New Roman" w:cs="Arial"/>
          <w:sz w:val="18"/>
          <w:szCs w:val="18"/>
          <w:lang w:eastAsia="pt-BR"/>
        </w:rPr>
        <w:t>$cabecalho</w:t>
      </w:r>
    </w:p>
    <w:p w14:paraId="2555C584" w14:textId="23EDAD00" w:rsidR="000A57C5" w:rsidRDefault="000A57C5" w:rsidP="000A57C5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0A57C5">
        <w:rPr>
          <w:rFonts w:eastAsia="Times New Roman" w:cs="Arial"/>
          <w:sz w:val="18"/>
          <w:szCs w:val="18"/>
          <w:lang w:eastAsia="pt-BR"/>
        </w:rPr>
        <w:t>$dadosProcessoSemValorSemData</w:t>
      </w:r>
    </w:p>
    <w:p w14:paraId="6C1BFF4F" w14:textId="77777777" w:rsidR="00705ACA" w:rsidRPr="00802382" w:rsidRDefault="00705ACA" w:rsidP="00705ACA">
      <w:pPr>
        <w:spacing w:after="0" w:line="240" w:lineRule="auto"/>
        <w:rPr>
          <w:rFonts w:eastAsia="Times New Roman" w:cs="Arial"/>
          <w:sz w:val="18"/>
          <w:szCs w:val="18"/>
          <w:lang w:eastAsia="pt-BR"/>
        </w:rPr>
      </w:pPr>
      <w:r w:rsidRPr="00802382">
        <w:rPr>
          <w:rFonts w:eastAsia="Times New Roman" w:cs="Arial"/>
          <w:sz w:val="18"/>
          <w:szCs w:val="18"/>
          <w:lang w:eastAsia="pt-BR"/>
        </w:rPr>
        <w:t>JUSTIÇA GRATUITA: $!parteSelecionadaJusticaGratuita</w:t>
      </w:r>
    </w:p>
    <w:p w14:paraId="5E88E788" w14:textId="5A097089" w:rsidR="00780846" w:rsidRDefault="000A57C5" w:rsidP="000A57C5">
      <w:pPr>
        <w:spacing w:after="0" w:line="240" w:lineRule="auto"/>
        <w:jc w:val="center"/>
        <w:rPr>
          <w:rFonts w:eastAsia="Times New Roman" w:cs="Arial"/>
          <w:b/>
          <w:bCs/>
          <w:sz w:val="18"/>
          <w:szCs w:val="18"/>
          <w:lang w:eastAsia="pt-BR"/>
        </w:rPr>
      </w:pPr>
      <w:r w:rsidRPr="008D176A">
        <w:rPr>
          <w:rFonts w:eastAsia="Times New Roman" w:cs="Arial"/>
          <w:b/>
          <w:bCs/>
          <w:u w:val="single"/>
          <w:lang w:eastAsia="pt-BR"/>
        </w:rPr>
        <w:t>$cumprimentoCartorio.getTipoCumprimento</w:t>
      </w:r>
      <w:r w:rsidR="00FB0D36" w:rsidRPr="008D176A">
        <w:rPr>
          <w:rFonts w:eastAsia="Times New Roman" w:cs="Arial"/>
          <w:b/>
          <w:bCs/>
          <w:u w:val="single"/>
          <w:lang w:eastAsia="pt-BR"/>
        </w:rPr>
        <w:t>Cartorio</w:t>
      </w:r>
      <w:r w:rsidRPr="008D176A">
        <w:rPr>
          <w:rFonts w:eastAsia="Times New Roman" w:cs="Arial"/>
          <w:b/>
          <w:bCs/>
          <w:u w:val="single"/>
          <w:lang w:eastAsia="pt-BR"/>
        </w:rPr>
        <w:t>().getDescricao()</w:t>
      </w:r>
      <w:r w:rsidRPr="008D176A">
        <w:rPr>
          <w:rFonts w:eastAsia="Times New Roman" w:cs="Arial"/>
          <w:lang w:eastAsia="pt-BR"/>
        </w:rPr>
        <w:br/>
      </w:r>
      <w:r w:rsidRPr="000A57C5">
        <w:rPr>
          <w:rFonts w:eastAsia="Times New Roman" w:cs="Arial"/>
          <w:b/>
          <w:bCs/>
          <w:sz w:val="18"/>
          <w:szCs w:val="18"/>
          <w:lang w:eastAsia="pt-BR"/>
        </w:rPr>
        <w:t>$cumprimentoNumero</w:t>
      </w:r>
    </w:p>
    <w:p w14:paraId="6A868E5D" w14:textId="0DA1E625" w:rsidR="000A57C5" w:rsidRPr="000A57C5" w:rsidRDefault="000A57C5" w:rsidP="000A57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A57C5">
        <w:rPr>
          <w:rFonts w:eastAsia="Times New Roman" w:cs="Arial"/>
          <w:b/>
          <w:bCs/>
          <w:sz w:val="18"/>
          <w:szCs w:val="18"/>
          <w:lang w:eastAsia="pt-BR"/>
        </w:rPr>
        <w:t>#if( $cumprimentoCart</w:t>
      </w:r>
      <w:r w:rsidR="00780846">
        <w:rPr>
          <w:rFonts w:eastAsia="Times New Roman" w:cs="Arial"/>
          <w:b/>
          <w:bCs/>
          <w:sz w:val="18"/>
          <w:szCs w:val="18"/>
          <w:lang w:eastAsia="pt-BR"/>
        </w:rPr>
        <w:t>orio.getDescrevePrazo() != "" )</w:t>
      </w:r>
      <w:r w:rsidRPr="000A57C5">
        <w:rPr>
          <w:rFonts w:eastAsia="Times New Roman" w:cs="Arial"/>
          <w:b/>
          <w:bCs/>
          <w:sz w:val="18"/>
          <w:szCs w:val="18"/>
          <w:lang w:eastAsia="pt-BR"/>
        </w:rPr>
        <w:t xml:space="preserve"> Prazo: $cumprimentoCartorio.getDescrevePrazo()#end</w:t>
      </w:r>
    </w:p>
    <w:p w14:paraId="5AB6F8BF" w14:textId="77777777" w:rsidR="000A57C5" w:rsidRPr="008D176A" w:rsidRDefault="000A57C5" w:rsidP="000A57C5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3FE200C9" w14:textId="77777777" w:rsidR="00B71A8C" w:rsidRPr="00E8536A" w:rsidRDefault="00B71A8C" w:rsidP="00B71A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E8536A">
        <w:rPr>
          <w:rFonts w:eastAsia="Times New Roman" w:cs="Arial"/>
          <w:sz w:val="18"/>
          <w:szCs w:val="18"/>
          <w:lang w:eastAsia="pt-BR"/>
        </w:rPr>
        <w:t xml:space="preserve">O(A) Juiz(íza) de Direito $!autos.getJuizResponsavel().getNome(), da $vara.getDescricao(), referente ao(à) </w:t>
      </w:r>
      <w:r w:rsidRPr="00E8536A">
        <w:rPr>
          <w:rFonts w:eastAsia="Times New Roman" w:cs="Arial"/>
          <w:b/>
          <w:bCs/>
          <w:sz w:val="18"/>
          <w:szCs w:val="18"/>
          <w:lang w:eastAsia="pt-BR"/>
        </w:rPr>
        <w:t>$!parteSelecionada.tipoParteProcesso.descricao</w:t>
      </w:r>
      <w:r w:rsidRPr="00E8536A">
        <w:rPr>
          <w:rFonts w:eastAsia="Times New Roman" w:cs="Arial"/>
          <w:sz w:val="18"/>
          <w:szCs w:val="18"/>
          <w:lang w:eastAsia="pt-BR"/>
        </w:rPr>
        <w:t>: $parteSelecionadaDadosBasicos</w:t>
      </w:r>
    </w:p>
    <w:p w14:paraId="5C450572" w14:textId="77777777" w:rsidR="00B71A8C" w:rsidRPr="008D176A" w:rsidRDefault="00B71A8C" w:rsidP="00B71A8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15EDA6DE" w14:textId="0688A46C" w:rsidR="002D1D73" w:rsidRDefault="0024544E" w:rsidP="00B71A8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D2660D">
        <w:rPr>
          <w:rFonts w:eastAsia="Times New Roman" w:cs="Arial"/>
          <w:b/>
          <w:bCs/>
          <w:sz w:val="18"/>
          <w:szCs w:val="18"/>
          <w:lang w:eastAsia="pt-BR"/>
        </w:rPr>
        <w:t>MANDA</w:t>
      </w:r>
      <w:r w:rsidRPr="00D2660D">
        <w:rPr>
          <w:rFonts w:eastAsia="Times New Roman" w:cs="Arial"/>
          <w:sz w:val="18"/>
          <w:szCs w:val="18"/>
          <w:lang w:eastAsia="pt-BR"/>
        </w:rPr>
        <w:t xml:space="preserve"> ao(à) </w:t>
      </w:r>
      <w:r w:rsidRPr="00EC42FB">
        <w:rPr>
          <w:rFonts w:eastAsia="Times New Roman" w:cs="Arial"/>
          <w:b/>
          <w:bCs/>
          <w:sz w:val="18"/>
          <w:szCs w:val="18"/>
          <w:lang w:eastAsia="pt-BR"/>
        </w:rPr>
        <w:t>S</w:t>
      </w:r>
      <w:r>
        <w:rPr>
          <w:rFonts w:eastAsia="Times New Roman" w:cs="Arial"/>
          <w:b/>
          <w:bCs/>
          <w:sz w:val="18"/>
          <w:szCs w:val="18"/>
          <w:lang w:eastAsia="pt-BR"/>
        </w:rPr>
        <w:t>enhor</w:t>
      </w:r>
      <w:r w:rsidRPr="00EC42FB">
        <w:rPr>
          <w:rFonts w:eastAsia="Times New Roman" w:cs="Arial"/>
          <w:b/>
          <w:bCs/>
          <w:sz w:val="18"/>
          <w:szCs w:val="18"/>
          <w:lang w:eastAsia="pt-BR"/>
        </w:rPr>
        <w:t xml:space="preserve">(a) Oficial 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do </w:t>
      </w:r>
      <w:r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>X</w:t>
      </w:r>
      <w:r w:rsidRPr="0078261B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>º</w:t>
      </w:r>
      <w:r w:rsidRPr="00761571">
        <w:rPr>
          <w:rFonts w:eastAsia="Times New Roman" w:cs="Arial"/>
          <w:b/>
          <w:bCs/>
          <w:sz w:val="18"/>
          <w:szCs w:val="18"/>
          <w:lang w:eastAsia="pt-BR"/>
        </w:rPr>
        <w:t xml:space="preserve"> Serviço de Registro Civil das Pessoas Naturais</w:t>
      </w:r>
      <w:r>
        <w:rPr>
          <w:rFonts w:eastAsia="Times New Roman" w:cs="Arial"/>
          <w:b/>
          <w:bCs/>
          <w:sz w:val="18"/>
          <w:szCs w:val="18"/>
          <w:lang w:eastAsia="pt-BR"/>
        </w:rPr>
        <w:t xml:space="preserve"> da </w:t>
      </w:r>
      <w:r w:rsidRPr="00324FC7">
        <w:rPr>
          <w:rFonts w:eastAsia="Times New Roman" w:cs="Arial"/>
          <w:b/>
          <w:bCs/>
          <w:sz w:val="18"/>
          <w:szCs w:val="18"/>
          <w:lang w:eastAsia="pt-BR"/>
        </w:rPr>
        <w:t xml:space="preserve">Comarca de </w:t>
      </w:r>
      <w:r w:rsidRPr="00324FC7">
        <w:rPr>
          <w:rFonts w:eastAsia="Times New Roman" w:cs="Arial"/>
          <w:b/>
          <w:bCs/>
          <w:color w:val="0000FF"/>
          <w:sz w:val="18"/>
          <w:szCs w:val="18"/>
          <w:lang w:eastAsia="pt-BR"/>
        </w:rPr>
        <w:t>XXX</w:t>
      </w:r>
      <w:r>
        <w:rPr>
          <w:rFonts w:eastAsia="Times New Roman" w:cs="Arial"/>
          <w:sz w:val="18"/>
          <w:szCs w:val="18"/>
          <w:lang w:eastAsia="pt-BR"/>
        </w:rPr>
        <w:t xml:space="preserve"> que proceda à</w:t>
      </w:r>
      <w:r w:rsidRPr="000A57C5">
        <w:rPr>
          <w:rFonts w:eastAsia="Times New Roman" w:cs="Arial"/>
          <w:sz w:val="18"/>
          <w:szCs w:val="18"/>
          <w:lang w:eastAsia="pt-BR"/>
        </w:rPr>
        <w:t xml:space="preserve"> </w:t>
      </w:r>
      <w:r w:rsidRPr="000A57C5">
        <w:rPr>
          <w:rFonts w:eastAsia="Times New Roman" w:cs="Arial"/>
          <w:b/>
          <w:bCs/>
          <w:sz w:val="18"/>
          <w:szCs w:val="18"/>
          <w:lang w:eastAsia="pt-BR"/>
        </w:rPr>
        <w:t>AVERBAÇÃO DE DIVÓRCIO</w:t>
      </w:r>
      <w:r w:rsidR="00A92FDC">
        <w:rPr>
          <w:rFonts w:eastAsia="Times New Roman" w:cs="Arial"/>
          <w:b/>
          <w:bCs/>
          <w:sz w:val="18"/>
          <w:szCs w:val="18"/>
          <w:lang w:eastAsia="pt-BR"/>
        </w:rPr>
        <w:t xml:space="preserve"> </w:t>
      </w:r>
      <w:r w:rsidR="000A57C5" w:rsidRPr="000A57C5">
        <w:rPr>
          <w:rFonts w:eastAsia="Times New Roman" w:cs="Arial"/>
          <w:sz w:val="18"/>
          <w:szCs w:val="18"/>
          <w:lang w:eastAsia="pt-BR"/>
        </w:rPr>
        <w:t xml:space="preserve">à margem do assento de casamento 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 xml:space="preserve">registro </w:t>
      </w:r>
      <w:r w:rsidR="0080261D" w:rsidRPr="000A57C5">
        <w:rPr>
          <w:rFonts w:eastAsia="Times New Roman" w:cs="Arial"/>
          <w:color w:val="3300FF"/>
          <w:sz w:val="18"/>
          <w:szCs w:val="18"/>
          <w:lang w:eastAsia="pt-BR"/>
        </w:rPr>
        <w:t>00.000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 xml:space="preserve">, folhas </w:t>
      </w:r>
      <w:r w:rsidR="0080261D" w:rsidRPr="000A57C5">
        <w:rPr>
          <w:rFonts w:eastAsia="Times New Roman" w:cs="Arial"/>
          <w:color w:val="3300FF"/>
          <w:sz w:val="18"/>
          <w:szCs w:val="18"/>
          <w:lang w:eastAsia="pt-BR"/>
        </w:rPr>
        <w:t>000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>, do livro</w:t>
      </w:r>
      <w:r w:rsidR="0080261D" w:rsidRPr="000A57C5">
        <w:rPr>
          <w:rFonts w:eastAsia="Times New Roman" w:cs="Arial"/>
          <w:color w:val="3300FF"/>
          <w:sz w:val="18"/>
          <w:szCs w:val="18"/>
          <w:lang w:eastAsia="pt-BR"/>
        </w:rPr>
        <w:t xml:space="preserve"> B-000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 xml:space="preserve"> </w:t>
      </w:r>
      <w:r w:rsidR="0080261D">
        <w:rPr>
          <w:rFonts w:eastAsia="Times New Roman" w:cs="Arial"/>
          <w:sz w:val="18"/>
          <w:szCs w:val="18"/>
          <w:lang w:eastAsia="pt-BR"/>
        </w:rPr>
        <w:t>do referido Serviço de Registro Civil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 xml:space="preserve">, devendo ficar constando que, por sentença </w:t>
      </w:r>
      <w:r w:rsidR="0080261D">
        <w:rPr>
          <w:rFonts w:eastAsia="Times New Roman" w:cs="Arial"/>
          <w:sz w:val="18"/>
          <w:szCs w:val="18"/>
          <w:lang w:eastAsia="pt-BR"/>
        </w:rPr>
        <w:t>transitada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 xml:space="preserve"> em julgado</w:t>
      </w:r>
      <w:r w:rsidR="00705ACA">
        <w:rPr>
          <w:rFonts w:eastAsia="Times New Roman" w:cs="Arial"/>
          <w:sz w:val="18"/>
          <w:szCs w:val="18"/>
          <w:lang w:eastAsia="pt-BR"/>
        </w:rPr>
        <w:t>,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 xml:space="preserve"> foi decretado o </w:t>
      </w:r>
      <w:r w:rsidR="0080261D" w:rsidRPr="000A57C5">
        <w:rPr>
          <w:rFonts w:eastAsia="Times New Roman" w:cs="Arial"/>
          <w:b/>
          <w:bCs/>
          <w:sz w:val="18"/>
          <w:szCs w:val="18"/>
          <w:lang w:eastAsia="pt-BR"/>
        </w:rPr>
        <w:t>Divórcio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 xml:space="preserve"> de </w:t>
      </w:r>
      <w:r w:rsidR="00EF6C1B" w:rsidRPr="00EF6C1B">
        <w:rPr>
          <w:rFonts w:eastAsia="Times New Roman" w:cs="Arial"/>
          <w:b/>
          <w:bCs/>
          <w:sz w:val="18"/>
          <w:szCs w:val="18"/>
          <w:lang w:eastAsia="pt-BR"/>
        </w:rPr>
        <w:t>$parteSelecionadaDadosNascimento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 xml:space="preserve">, devendo a(o) cônjuge </w:t>
      </w:r>
      <w:r w:rsidR="0080261D" w:rsidRPr="000A57C5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 xml:space="preserve"> voltar a assinar seu nome de solteir</w:t>
      </w:r>
      <w:r w:rsidR="007E68E8">
        <w:rPr>
          <w:rFonts w:eastAsia="Times New Roman" w:cs="Arial"/>
          <w:sz w:val="18"/>
          <w:szCs w:val="18"/>
          <w:lang w:eastAsia="pt-BR"/>
        </w:rPr>
        <w:t>o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>(</w:t>
      </w:r>
      <w:r w:rsidR="007E68E8">
        <w:rPr>
          <w:rFonts w:eastAsia="Times New Roman" w:cs="Arial"/>
          <w:sz w:val="18"/>
          <w:szCs w:val="18"/>
          <w:lang w:eastAsia="pt-BR"/>
        </w:rPr>
        <w:t>a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>), qual seja,</w:t>
      </w:r>
      <w:r w:rsidR="0080261D" w:rsidRPr="000A57C5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="0080261D" w:rsidRPr="000A57C5">
        <w:rPr>
          <w:rFonts w:eastAsia="Times New Roman" w:cs="Arial"/>
          <w:b/>
          <w:bCs/>
          <w:color w:val="3300FF"/>
          <w:sz w:val="18"/>
          <w:szCs w:val="18"/>
          <w:lang w:eastAsia="pt-BR"/>
        </w:rPr>
        <w:t>XXXXX</w:t>
      </w:r>
      <w:r w:rsidR="0080261D" w:rsidRPr="000A57C5">
        <w:rPr>
          <w:rFonts w:eastAsia="Times New Roman" w:cs="Arial"/>
          <w:sz w:val="18"/>
          <w:szCs w:val="18"/>
          <w:lang w:eastAsia="pt-BR"/>
        </w:rPr>
        <w:t>.</w:t>
      </w:r>
      <w:r w:rsidR="0080261D">
        <w:rPr>
          <w:rFonts w:eastAsia="Times New Roman" w:cs="Arial"/>
          <w:sz w:val="18"/>
          <w:szCs w:val="18"/>
          <w:lang w:eastAsia="pt-BR"/>
        </w:rPr>
        <w:t xml:space="preserve"> Ainda, </w:t>
      </w:r>
      <w:r w:rsidR="002D1D73">
        <w:rPr>
          <w:rFonts w:eastAsia="Times New Roman" w:cs="Arial"/>
          <w:sz w:val="18"/>
          <w:szCs w:val="18"/>
          <w:lang w:eastAsia="pt-BR"/>
        </w:rPr>
        <w:t xml:space="preserve">providencie </w:t>
      </w:r>
      <w:r w:rsidR="00C67FFC">
        <w:rPr>
          <w:rFonts w:eastAsia="Times New Roman" w:cs="Arial"/>
          <w:sz w:val="18"/>
          <w:szCs w:val="18"/>
          <w:lang w:eastAsia="pt-BR"/>
        </w:rPr>
        <w:t>a</w:t>
      </w:r>
      <w:r w:rsidR="0080261D">
        <w:rPr>
          <w:rFonts w:eastAsia="Times New Roman" w:cs="Arial"/>
          <w:sz w:val="18"/>
          <w:szCs w:val="18"/>
          <w:lang w:eastAsia="pt-BR"/>
        </w:rPr>
        <w:t>s</w:t>
      </w:r>
      <w:r w:rsidR="002D1D73" w:rsidRPr="00761571">
        <w:rPr>
          <w:rFonts w:eastAsia="Times New Roman" w:cs="Arial"/>
          <w:sz w:val="18"/>
          <w:szCs w:val="18"/>
          <w:lang w:eastAsia="pt-BR"/>
        </w:rPr>
        <w:t xml:space="preserve"> </w:t>
      </w:r>
      <w:r w:rsidR="002D1D73" w:rsidRPr="007D4144">
        <w:rPr>
          <w:rFonts w:eastAsia="Times New Roman" w:cs="Arial"/>
          <w:b/>
          <w:bCs/>
          <w:sz w:val="18"/>
          <w:szCs w:val="18"/>
          <w:lang w:eastAsia="pt-BR"/>
        </w:rPr>
        <w:t>ANOTAÇÕES</w:t>
      </w:r>
      <w:r w:rsidR="002D1D73">
        <w:rPr>
          <w:rFonts w:eastAsia="Times New Roman" w:cs="Arial"/>
          <w:sz w:val="18"/>
          <w:szCs w:val="18"/>
          <w:lang w:eastAsia="pt-BR"/>
        </w:rPr>
        <w:t xml:space="preserve"> </w:t>
      </w:r>
      <w:r w:rsidR="002D1D73" w:rsidRPr="00761571">
        <w:rPr>
          <w:rFonts w:eastAsia="Times New Roman" w:cs="Arial"/>
          <w:sz w:val="18"/>
          <w:szCs w:val="18"/>
          <w:lang w:eastAsia="pt-BR"/>
        </w:rPr>
        <w:t>necessárias no registro civil do</w:t>
      </w:r>
      <w:r w:rsidR="002D1D73">
        <w:rPr>
          <w:rFonts w:eastAsia="Times New Roman" w:cs="Arial"/>
          <w:sz w:val="18"/>
          <w:szCs w:val="18"/>
          <w:lang w:eastAsia="pt-BR"/>
        </w:rPr>
        <w:t>s (a)</w:t>
      </w:r>
      <w:r w:rsidR="002D1D73" w:rsidRPr="00761571">
        <w:rPr>
          <w:rFonts w:eastAsia="Times New Roman" w:cs="Arial"/>
          <w:sz w:val="18"/>
          <w:szCs w:val="18"/>
          <w:lang w:eastAsia="pt-BR"/>
        </w:rPr>
        <w:t>(</w:t>
      </w:r>
      <w:r w:rsidR="002D1D73">
        <w:rPr>
          <w:rFonts w:eastAsia="Times New Roman" w:cs="Arial"/>
          <w:sz w:val="18"/>
          <w:szCs w:val="18"/>
          <w:lang w:eastAsia="pt-BR"/>
        </w:rPr>
        <w:t>s</w:t>
      </w:r>
      <w:r w:rsidR="002D1D73" w:rsidRPr="00761571">
        <w:rPr>
          <w:rFonts w:eastAsia="Times New Roman" w:cs="Arial"/>
          <w:sz w:val="18"/>
          <w:szCs w:val="18"/>
          <w:lang w:eastAsia="pt-BR"/>
        </w:rPr>
        <w:t xml:space="preserve">) </w:t>
      </w:r>
      <w:r w:rsidR="002D1D73">
        <w:rPr>
          <w:rFonts w:eastAsia="Times New Roman" w:cs="Arial"/>
          <w:sz w:val="18"/>
          <w:szCs w:val="18"/>
          <w:lang w:eastAsia="pt-BR"/>
        </w:rPr>
        <w:t>conviventes</w:t>
      </w:r>
      <w:r w:rsidR="002D1D73">
        <w:rPr>
          <w:rStyle w:val="Refdenotaderodap"/>
          <w:rFonts w:eastAsia="Times New Roman" w:cs="Arial"/>
          <w:b/>
          <w:bCs/>
          <w:sz w:val="18"/>
          <w:szCs w:val="18"/>
          <w:lang w:eastAsia="pt-BR"/>
        </w:rPr>
        <w:footnoteReference w:id="1"/>
      </w:r>
      <w:r w:rsidR="002D1D73">
        <w:rPr>
          <w:rFonts w:eastAsia="Times New Roman" w:cs="Arial"/>
          <w:sz w:val="18"/>
          <w:szCs w:val="18"/>
          <w:lang w:eastAsia="pt-BR"/>
        </w:rPr>
        <w:t xml:space="preserve"> abaixo informado(a)(s):</w:t>
      </w:r>
    </w:p>
    <w:p w14:paraId="1CBD94E9" w14:textId="3006638C" w:rsidR="00A92FDC" w:rsidRDefault="00A92FDC" w:rsidP="00B71A8C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0F7C0FEB" w14:textId="7D94F6F1" w:rsidR="0080261D" w:rsidRPr="003967AA" w:rsidRDefault="0080261D" w:rsidP="0080261D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967AA">
        <w:rPr>
          <w:rFonts w:eastAsia="Times New Roman" w:cs="Arial"/>
          <w:b/>
          <w:bCs/>
          <w:sz w:val="18"/>
          <w:szCs w:val="18"/>
          <w:lang w:eastAsia="pt-BR"/>
        </w:rPr>
        <w:t>Dados da Sentença</w:t>
      </w:r>
      <w:r>
        <w:rPr>
          <w:rStyle w:val="Refdenotaderodap"/>
          <w:rFonts w:eastAsia="Times New Roman" w:cs="Arial"/>
          <w:sz w:val="18"/>
          <w:szCs w:val="18"/>
          <w:lang w:eastAsia="pt-BR"/>
        </w:rPr>
        <w:footnoteReference w:id="2"/>
      </w:r>
      <w:r w:rsidRPr="003967AA">
        <w:rPr>
          <w:rFonts w:eastAsia="Times New Roman" w:cs="Arial"/>
          <w:b/>
          <w:bCs/>
          <w:sz w:val="18"/>
          <w:szCs w:val="18"/>
          <w:lang w:eastAsia="pt-BR"/>
        </w:rPr>
        <w:t>:</w:t>
      </w:r>
    </w:p>
    <w:p w14:paraId="0C24B8F8" w14:textId="77777777" w:rsidR="0080261D" w:rsidRPr="003967AA" w:rsidRDefault="0080261D" w:rsidP="0080261D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967AA">
        <w:rPr>
          <w:rFonts w:eastAsia="Times New Roman" w:cs="Arial"/>
          <w:sz w:val="18"/>
          <w:szCs w:val="18"/>
          <w:lang w:eastAsia="pt-BR"/>
        </w:rPr>
        <w:t>Nome do(a) Juiz(íza): $!autos.getJuizResponsavel().getNome()</w:t>
      </w:r>
    </w:p>
    <w:p w14:paraId="77D8B4AB" w14:textId="77777777" w:rsidR="0080261D" w:rsidRPr="003967AA" w:rsidRDefault="0080261D" w:rsidP="0080261D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967AA">
        <w:rPr>
          <w:rFonts w:eastAsia="Times New Roman" w:cs="Arial"/>
          <w:sz w:val="18"/>
          <w:szCs w:val="18"/>
          <w:lang w:eastAsia="pt-BR"/>
        </w:rPr>
        <w:t>Órgão Prolator: $vara.getDescricao()</w:t>
      </w:r>
    </w:p>
    <w:p w14:paraId="4F97F543" w14:textId="77777777" w:rsidR="0080261D" w:rsidRPr="003967AA" w:rsidRDefault="0080261D" w:rsidP="0080261D">
      <w:pPr>
        <w:spacing w:after="0" w:line="240" w:lineRule="auto"/>
        <w:jc w:val="both"/>
        <w:rPr>
          <w:rFonts w:eastAsia="Times New Roman" w:cs="Arial"/>
          <w:color w:val="0000FF"/>
          <w:sz w:val="18"/>
          <w:szCs w:val="18"/>
          <w:lang w:eastAsia="pt-BR"/>
        </w:rPr>
      </w:pPr>
      <w:r w:rsidRPr="003967AA">
        <w:rPr>
          <w:rFonts w:eastAsia="Times New Roman" w:cs="Arial"/>
          <w:sz w:val="18"/>
          <w:szCs w:val="18"/>
          <w:lang w:eastAsia="pt-BR"/>
        </w:rPr>
        <w:t xml:space="preserve">Data da Sentença: </w:t>
      </w:r>
      <w:r w:rsidRPr="003967AA">
        <w:rPr>
          <w:rFonts w:eastAsia="Times New Roman" w:cs="Arial"/>
          <w:color w:val="0000FF"/>
          <w:sz w:val="18"/>
          <w:szCs w:val="18"/>
          <w:lang w:eastAsia="pt-BR"/>
        </w:rPr>
        <w:t>XX/XX/202X</w:t>
      </w:r>
    </w:p>
    <w:p w14:paraId="13A8EFF9" w14:textId="77777777" w:rsidR="0080261D" w:rsidRPr="003967AA" w:rsidRDefault="0080261D" w:rsidP="0080261D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967AA">
        <w:rPr>
          <w:rFonts w:eastAsia="Times New Roman" w:cs="Arial"/>
          <w:sz w:val="18"/>
          <w:szCs w:val="18"/>
          <w:lang w:eastAsia="pt-BR"/>
        </w:rPr>
        <w:t>Data do Trânsito em Julgado: $autosDataTransitoJulgado</w:t>
      </w:r>
    </w:p>
    <w:p w14:paraId="2A73B4B7" w14:textId="5F0C8552" w:rsidR="00A15813" w:rsidRDefault="00502E6E" w:rsidP="00A15813">
      <w:pPr>
        <w:spacing w:after="0"/>
        <w:jc w:val="both"/>
        <w:rPr>
          <w:rFonts w:eastAsia="Times New Roman" w:cs="Arial"/>
          <w:color w:val="3300FF"/>
          <w:sz w:val="18"/>
          <w:szCs w:val="18"/>
          <w:lang w:eastAsia="pt-BR"/>
        </w:rPr>
      </w:pPr>
      <w:r>
        <w:rPr>
          <w:rFonts w:eastAsia="Times New Roman" w:cs="Arial"/>
          <w:sz w:val="18"/>
          <w:szCs w:val="18"/>
          <w:lang w:eastAsia="pt-BR"/>
        </w:rPr>
        <w:t>Consigna-se ainda</w:t>
      </w:r>
      <w:r w:rsidR="00910729">
        <w:rPr>
          <w:rFonts w:eastAsia="Times New Roman" w:cs="Arial"/>
          <w:sz w:val="18"/>
          <w:szCs w:val="18"/>
          <w:lang w:eastAsia="pt-BR"/>
        </w:rPr>
        <w:t>, em relação aos bens, que</w:t>
      </w:r>
      <w:r>
        <w:rPr>
          <w:rFonts w:eastAsia="Times New Roman" w:cs="Arial"/>
          <w:sz w:val="18"/>
          <w:szCs w:val="18"/>
          <w:lang w:eastAsia="pt-BR"/>
        </w:rPr>
        <w:t xml:space="preserve"> </w:t>
      </w:r>
      <w:r w:rsidR="00A15813" w:rsidRPr="00A92FDC">
        <w:rPr>
          <w:rFonts w:eastAsia="Times New Roman" w:cs="Arial"/>
          <w:color w:val="3300FF"/>
          <w:sz w:val="18"/>
          <w:szCs w:val="18"/>
          <w:lang w:eastAsia="pt-BR"/>
        </w:rPr>
        <w:t>[</w:t>
      </w:r>
      <w:r w:rsidR="00A92FDC" w:rsidRPr="00A92FDC">
        <w:rPr>
          <w:rFonts w:eastAsia="Times New Roman" w:cs="Arial"/>
          <w:i/>
          <w:color w:val="3300FF"/>
          <w:sz w:val="18"/>
          <w:szCs w:val="18"/>
          <w:lang w:eastAsia="pt-BR"/>
        </w:rPr>
        <w:t>***</w:t>
      </w:r>
      <w:r w:rsidR="00A92FDC" w:rsidRPr="00A92FDC">
        <w:rPr>
          <w:rFonts w:eastAsia="Times New Roman" w:cs="Arial"/>
          <w:i/>
          <w:color w:val="3300FF"/>
          <w:sz w:val="18"/>
          <w:szCs w:val="18"/>
          <w:highlight w:val="yellow"/>
          <w:lang w:eastAsia="pt-BR"/>
        </w:rPr>
        <w:t>selecionar uma das opções abaixo</w:t>
      </w:r>
      <w:r w:rsidR="00A92FDC" w:rsidRPr="00A92FDC">
        <w:rPr>
          <w:rFonts w:eastAsia="Times New Roman" w:cs="Arial"/>
          <w:i/>
          <w:color w:val="3300FF"/>
          <w:sz w:val="18"/>
          <w:szCs w:val="18"/>
          <w:lang w:eastAsia="pt-BR"/>
        </w:rPr>
        <w:t>***</w:t>
      </w:r>
      <w:r w:rsidR="00A92FDC">
        <w:rPr>
          <w:rFonts w:eastAsia="Times New Roman" w:cs="Arial"/>
          <w:color w:val="3300FF"/>
          <w:sz w:val="18"/>
          <w:szCs w:val="18"/>
          <w:lang w:eastAsia="pt-BR"/>
        </w:rPr>
        <w:t>]</w:t>
      </w:r>
      <w:r w:rsidR="00A15813" w:rsidRPr="00A15813"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</w:p>
    <w:p w14:paraId="15FECA95" w14:textId="261EFB31" w:rsidR="00A15813" w:rsidRPr="00A15813" w:rsidRDefault="00A92FDC" w:rsidP="00A1581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FDC">
        <w:rPr>
          <w:rFonts w:eastAsia="Times New Roman" w:cs="Arial"/>
          <w:color w:val="3300FF"/>
          <w:sz w:val="18"/>
          <w:szCs w:val="18"/>
          <w:highlight w:val="yellow"/>
          <w:lang w:eastAsia="pt-BR"/>
        </w:rPr>
        <w:t>(i</w:t>
      </w:r>
      <w:r w:rsidR="00A15813" w:rsidRPr="00A92FDC">
        <w:rPr>
          <w:rFonts w:eastAsia="Times New Roman" w:cs="Arial"/>
          <w:color w:val="3300FF"/>
          <w:sz w:val="18"/>
          <w:szCs w:val="18"/>
          <w:highlight w:val="yellow"/>
          <w:lang w:eastAsia="pt-BR"/>
        </w:rPr>
        <w:t>)</w:t>
      </w:r>
      <w:r w:rsidR="00A15813" w:rsidRPr="00A15813">
        <w:rPr>
          <w:rFonts w:eastAsia="Times New Roman" w:cs="Arial"/>
          <w:color w:val="3300FF"/>
          <w:sz w:val="18"/>
          <w:szCs w:val="18"/>
          <w:lang w:eastAsia="pt-BR"/>
        </w:rPr>
        <w:t xml:space="preserve"> as partes não adquiriram bens na constância do casamento.</w:t>
      </w:r>
    </w:p>
    <w:p w14:paraId="6AAE7F1B" w14:textId="4BC3474A" w:rsidR="00A15813" w:rsidRPr="00A15813" w:rsidRDefault="00A92FDC" w:rsidP="00A1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FDC">
        <w:rPr>
          <w:rFonts w:eastAsia="Times New Roman" w:cs="Arial"/>
          <w:color w:val="3300FF"/>
          <w:sz w:val="18"/>
          <w:szCs w:val="18"/>
          <w:highlight w:val="yellow"/>
          <w:lang w:eastAsia="pt-BR"/>
        </w:rPr>
        <w:t>(ii</w:t>
      </w:r>
      <w:r w:rsidR="00A15813" w:rsidRPr="00A92FDC">
        <w:rPr>
          <w:rFonts w:eastAsia="Times New Roman" w:cs="Arial"/>
          <w:color w:val="3300FF"/>
          <w:sz w:val="18"/>
          <w:szCs w:val="18"/>
          <w:highlight w:val="yellow"/>
          <w:lang w:eastAsia="pt-BR"/>
        </w:rPr>
        <w:t>)</w:t>
      </w:r>
      <w:r w:rsidR="00A15813" w:rsidRPr="00A15813">
        <w:rPr>
          <w:rFonts w:eastAsia="Times New Roman" w:cs="Arial"/>
          <w:color w:val="3300FF"/>
          <w:sz w:val="18"/>
          <w:szCs w:val="18"/>
          <w:lang w:eastAsia="pt-BR"/>
        </w:rPr>
        <w:t xml:space="preserve"> a partilha dos bens será feita em momento posterior.</w:t>
      </w:r>
    </w:p>
    <w:p w14:paraId="434F2BDD" w14:textId="5ED68EAE" w:rsidR="00A15813" w:rsidRPr="00A15813" w:rsidRDefault="00A92FDC" w:rsidP="00A158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92FDC">
        <w:rPr>
          <w:rFonts w:eastAsia="Times New Roman" w:cs="Arial"/>
          <w:color w:val="3300FF"/>
          <w:sz w:val="18"/>
          <w:szCs w:val="18"/>
          <w:highlight w:val="yellow"/>
          <w:lang w:eastAsia="pt-BR"/>
        </w:rPr>
        <w:t>(iii</w:t>
      </w:r>
      <w:r w:rsidR="00A15813" w:rsidRPr="00A92FDC">
        <w:rPr>
          <w:rFonts w:eastAsia="Times New Roman" w:cs="Arial"/>
          <w:color w:val="3300FF"/>
          <w:sz w:val="18"/>
          <w:szCs w:val="18"/>
          <w:highlight w:val="yellow"/>
          <w:lang w:eastAsia="pt-BR"/>
        </w:rPr>
        <w:t>)</w:t>
      </w:r>
      <w:r w:rsidR="00A15813" w:rsidRPr="00A15813">
        <w:rPr>
          <w:rFonts w:eastAsia="Times New Roman" w:cs="Arial"/>
          <w:color w:val="3300FF"/>
          <w:sz w:val="18"/>
          <w:szCs w:val="18"/>
          <w:lang w:eastAsia="pt-BR"/>
        </w:rPr>
        <w:t xml:space="preserve"> a partilha dos bens será feita nos termos do acordo entabulado entre as partes.</w:t>
      </w:r>
    </w:p>
    <w:p w14:paraId="7ED0941F" w14:textId="187028BB" w:rsidR="0080261D" w:rsidRPr="003967AA" w:rsidRDefault="0080261D" w:rsidP="0080261D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3967AA">
        <w:rPr>
          <w:rFonts w:eastAsia="Times New Roman" w:cs="Arial"/>
          <w:sz w:val="18"/>
          <w:szCs w:val="18"/>
          <w:lang w:eastAsia="pt-BR"/>
        </w:rPr>
        <w:t>A sentença</w:t>
      </w:r>
      <w:r w:rsidR="00705ACA">
        <w:rPr>
          <w:rFonts w:eastAsia="Times New Roman" w:cs="Arial"/>
          <w:sz w:val="18"/>
          <w:szCs w:val="18"/>
          <w:lang w:eastAsia="pt-BR"/>
        </w:rPr>
        <w:t xml:space="preserve"> proferida no mov.</w:t>
      </w:r>
      <w:r w:rsidRPr="003967AA">
        <w:rPr>
          <w:rFonts w:eastAsia="Times New Roman" w:cs="Arial"/>
          <w:sz w:val="18"/>
          <w:szCs w:val="18"/>
          <w:lang w:eastAsia="pt-BR"/>
        </w:rPr>
        <w:t xml:space="preserve"> </w:t>
      </w:r>
      <w:r w:rsidR="00705ACA">
        <w:rPr>
          <w:rFonts w:eastAsia="Times New Roman" w:cs="Arial"/>
          <w:color w:val="0000FF"/>
          <w:sz w:val="18"/>
          <w:szCs w:val="18"/>
          <w:lang w:eastAsia="pt-BR"/>
        </w:rPr>
        <w:t>XX</w:t>
      </w:r>
      <w:r w:rsidRPr="003967AA">
        <w:rPr>
          <w:rFonts w:eastAsia="Times New Roman" w:cs="Arial"/>
          <w:sz w:val="18"/>
          <w:szCs w:val="18"/>
          <w:lang w:eastAsia="pt-BR"/>
        </w:rPr>
        <w:t xml:space="preserve"> servirá de instrumento para registro no Serviço de Registro Civil das Pessoas Naturais, por força legal.</w:t>
      </w:r>
    </w:p>
    <w:p w14:paraId="565476C6" w14:textId="2C5DF4F0" w:rsidR="0024544E" w:rsidRDefault="0024544E" w:rsidP="0024544E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7B77EC37" w14:textId="77777777" w:rsidR="00BC296F" w:rsidRDefault="00BC296F" w:rsidP="00BC296F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>
        <w:rPr>
          <w:rFonts w:eastAsia="Times New Roman" w:cs="Arial"/>
          <w:sz w:val="18"/>
          <w:szCs w:val="18"/>
          <w:lang w:eastAsia="pt-BR"/>
        </w:rPr>
        <w:t>O</w:t>
      </w:r>
      <w:r w:rsidRPr="003D1579">
        <w:rPr>
          <w:rFonts w:eastAsia="Times New Roman" w:cs="Arial"/>
          <w:sz w:val="18"/>
          <w:szCs w:val="18"/>
          <w:lang w:eastAsia="pt-BR"/>
        </w:rPr>
        <w:t xml:space="preserve"> recolhimento dos emolumentos referentes à prática da diligência deverá seguir o instituído </w:t>
      </w:r>
      <w:r>
        <w:rPr>
          <w:rFonts w:eastAsia="Times New Roman" w:cs="Arial"/>
          <w:sz w:val="18"/>
          <w:szCs w:val="18"/>
          <w:lang w:eastAsia="pt-BR"/>
        </w:rPr>
        <w:t>nos arts. 4º e 5º da</w:t>
      </w:r>
      <w:r w:rsidRPr="003D1579">
        <w:rPr>
          <w:rFonts w:eastAsia="Times New Roman" w:cs="Arial"/>
          <w:sz w:val="18"/>
          <w:szCs w:val="18"/>
          <w:lang w:eastAsia="pt-BR"/>
        </w:rPr>
        <w:t xml:space="preserve"> </w:t>
      </w:r>
      <w:r w:rsidRPr="00F44BA6">
        <w:rPr>
          <w:rFonts w:eastAsia="Times New Roman" w:cs="Arial"/>
          <w:sz w:val="18"/>
          <w:szCs w:val="18"/>
          <w:lang w:eastAsia="pt-BR"/>
        </w:rPr>
        <w:t>Instrução Normativa Conjunta nº 136/2023-GCJ/GC.</w:t>
      </w:r>
    </w:p>
    <w:p w14:paraId="42ADFEE7" w14:textId="77777777" w:rsidR="00BC296F" w:rsidRDefault="00BC296F" w:rsidP="00BC296F">
      <w:pPr>
        <w:spacing w:after="0" w:line="240" w:lineRule="auto"/>
        <w:jc w:val="both"/>
        <w:rPr>
          <w:rFonts w:eastAsia="Times New Roman" w:cs="Arial"/>
          <w:color w:val="3300FF"/>
          <w:sz w:val="18"/>
          <w:szCs w:val="18"/>
          <w:lang w:eastAsia="pt-BR"/>
        </w:rPr>
      </w:pPr>
    </w:p>
    <w:p w14:paraId="2818C6C0" w14:textId="77777777" w:rsidR="00BC296F" w:rsidRPr="003D1579" w:rsidRDefault="00BC296F" w:rsidP="00BC296F">
      <w:pPr>
        <w:spacing w:after="0" w:line="240" w:lineRule="auto"/>
        <w:jc w:val="both"/>
        <w:rPr>
          <w:rFonts w:eastAsia="Times New Roman" w:cs="Arial"/>
          <w:i/>
          <w:sz w:val="18"/>
          <w:szCs w:val="18"/>
          <w:lang w:eastAsia="pt-BR"/>
        </w:rPr>
      </w:pPr>
      <w:r w:rsidRPr="003D1579">
        <w:rPr>
          <w:rFonts w:eastAsia="Times New Roman" w:cs="Arial"/>
          <w:sz w:val="18"/>
          <w:szCs w:val="18"/>
          <w:lang w:eastAsia="pt-BR"/>
        </w:rPr>
        <w:t xml:space="preserve">Emolumentos </w:t>
      </w:r>
      <w:r>
        <w:rPr>
          <w:rFonts w:eastAsia="Times New Roman" w:cs="Arial"/>
          <w:sz w:val="18"/>
          <w:szCs w:val="18"/>
          <w:lang w:eastAsia="pt-BR"/>
        </w:rPr>
        <w:t>Dispensados/</w:t>
      </w:r>
      <w:r w:rsidRPr="000C5329">
        <w:rPr>
          <w:rFonts w:eastAsia="Times New Roman" w:cs="Arial"/>
          <w:sz w:val="18"/>
          <w:szCs w:val="18"/>
          <w:lang w:eastAsia="pt-BR"/>
        </w:rPr>
        <w:t>Diferidos</w:t>
      </w:r>
      <w:r w:rsidRPr="003D1579">
        <w:rPr>
          <w:rFonts w:eastAsia="Times New Roman" w:cs="Arial"/>
          <w:sz w:val="18"/>
          <w:szCs w:val="18"/>
          <w:lang w:eastAsia="pt-BR"/>
        </w:rPr>
        <w:t>:</w:t>
      </w:r>
      <w:r w:rsidRPr="003D1579">
        <w:rPr>
          <w:rFonts w:eastAsia="Times New Roman" w:cs="Arial"/>
          <w:i/>
          <w:sz w:val="18"/>
          <w:szCs w:val="18"/>
          <w:lang w:eastAsia="pt-BR"/>
        </w:rPr>
        <w:t xml:space="preserve"> </w:t>
      </w:r>
      <w:r w:rsidRPr="003D1579">
        <w:rPr>
          <w:rFonts w:eastAsia="Times New Roman" w:cs="Arial"/>
          <w:sz w:val="18"/>
          <w:szCs w:val="18"/>
          <w:lang w:eastAsia="pt-BR"/>
        </w:rPr>
        <w:t>$!parteSelecionadaJusticaGratuita / $!parteSelecionadaCustasPostergadas</w:t>
      </w:r>
    </w:p>
    <w:p w14:paraId="598D7DA1" w14:textId="77777777" w:rsidR="00BC296F" w:rsidRPr="00C11149" w:rsidRDefault="00BC296F" w:rsidP="00BC296F">
      <w:pPr>
        <w:spacing w:after="0" w:line="240" w:lineRule="auto"/>
        <w:jc w:val="both"/>
        <w:rPr>
          <w:rFonts w:eastAsia="Times New Roman" w:cs="Arial"/>
          <w:iCs/>
          <w:color w:val="FF0000"/>
          <w:sz w:val="18"/>
          <w:szCs w:val="18"/>
          <w:lang w:eastAsia="pt-BR"/>
        </w:rPr>
      </w:pPr>
    </w:p>
    <w:p w14:paraId="24196713" w14:textId="77777777" w:rsidR="00BC296F" w:rsidRDefault="00BC296F" w:rsidP="00BC296F">
      <w:pPr>
        <w:spacing w:after="0" w:line="240" w:lineRule="auto"/>
        <w:jc w:val="both"/>
        <w:rPr>
          <w:rFonts w:eastAsia="Times New Roman" w:cs="Arial"/>
          <w:color w:val="3300FF"/>
          <w:sz w:val="18"/>
          <w:szCs w:val="18"/>
          <w:lang w:eastAsia="pt-BR"/>
        </w:rPr>
      </w:pPr>
      <w:r>
        <w:rPr>
          <w:rFonts w:eastAsia="Times New Roman" w:cs="Arial"/>
          <w:color w:val="3300FF"/>
          <w:sz w:val="18"/>
          <w:szCs w:val="18"/>
          <w:lang w:eastAsia="pt-BR"/>
        </w:rPr>
        <w:t xml:space="preserve">No presente caso não haverá </w:t>
      </w:r>
      <w:r w:rsidRPr="00A405E2">
        <w:rPr>
          <w:rFonts w:eastAsia="Times New Roman" w:cs="Arial"/>
          <w:color w:val="3300FF"/>
          <w:sz w:val="18"/>
          <w:szCs w:val="18"/>
          <w:lang w:eastAsia="pt-BR"/>
        </w:rPr>
        <w:t>antecipação dos emolumentos</w:t>
      </w:r>
      <w:r w:rsidRPr="00D70113">
        <w:rPr>
          <w:rStyle w:val="Refdenotaderodap"/>
          <w:rFonts w:eastAsia="Times New Roman" w:cs="Arial"/>
          <w:color w:val="3300FF"/>
          <w:sz w:val="18"/>
          <w:szCs w:val="18"/>
          <w:lang w:eastAsia="pt-BR"/>
        </w:rPr>
        <w:footnoteReference w:id="3"/>
      </w:r>
      <w:r w:rsidRPr="00A405E2">
        <w:rPr>
          <w:rFonts w:eastAsia="Times New Roman" w:cs="Arial"/>
          <w:color w:val="3300FF"/>
          <w:sz w:val="18"/>
          <w:szCs w:val="18"/>
          <w:lang w:eastAsia="pt-BR"/>
        </w:rPr>
        <w:t xml:space="preserve"> por</w:t>
      </w:r>
      <w:r w:rsidRPr="4FB613B9">
        <w:rPr>
          <w:rFonts w:eastAsia="Times New Roman" w:cs="Arial"/>
          <w:color w:val="3300FF"/>
          <w:sz w:val="18"/>
          <w:szCs w:val="18"/>
          <w:lang w:eastAsia="pt-BR"/>
        </w:rPr>
        <w:t xml:space="preserve"> se trata</w:t>
      </w:r>
      <w:r>
        <w:rPr>
          <w:rFonts w:eastAsia="Times New Roman" w:cs="Arial"/>
          <w:color w:val="3300FF"/>
          <w:sz w:val="18"/>
          <w:szCs w:val="18"/>
          <w:lang w:eastAsia="pt-BR"/>
        </w:rPr>
        <w:t>r</w:t>
      </w:r>
      <w:r w:rsidRPr="4FB613B9">
        <w:rPr>
          <w:rFonts w:eastAsia="Times New Roman" w:cs="Arial"/>
          <w:color w:val="3300FF"/>
          <w:sz w:val="18"/>
          <w:szCs w:val="18"/>
          <w:lang w:eastAsia="pt-BR"/>
        </w:rPr>
        <w:t xml:space="preserve"> de ato </w:t>
      </w:r>
      <w:r>
        <w:rPr>
          <w:rFonts w:eastAsia="Times New Roman" w:cs="Arial"/>
          <w:color w:val="3300FF"/>
          <w:sz w:val="18"/>
          <w:szCs w:val="18"/>
          <w:lang w:eastAsia="pt-BR"/>
        </w:rPr>
        <w:t xml:space="preserve">requerido por </w:t>
      </w:r>
      <w:r w:rsidRPr="4FB613B9">
        <w:rPr>
          <w:rFonts w:eastAsia="Times New Roman" w:cs="Arial"/>
          <w:color w:val="3300FF"/>
          <w:sz w:val="18"/>
          <w:szCs w:val="18"/>
          <w:lang w:eastAsia="pt-BR"/>
        </w:rPr>
        <w:t>parte</w:t>
      </w:r>
      <w:r>
        <w:rPr>
          <w:rFonts w:eastAsia="Times New Roman" w:cs="Arial"/>
          <w:color w:val="3300FF"/>
          <w:sz w:val="18"/>
          <w:szCs w:val="18"/>
          <w:lang w:eastAsia="pt-BR"/>
        </w:rPr>
        <w:t xml:space="preserve"> </w:t>
      </w:r>
      <w:r w:rsidRPr="00A405E2">
        <w:rPr>
          <w:rFonts w:eastAsia="Times New Roman" w:cs="Arial"/>
          <w:color w:val="3300FF"/>
          <w:sz w:val="18"/>
          <w:szCs w:val="18"/>
          <w:lang w:eastAsia="pt-BR"/>
        </w:rPr>
        <w:t>interessada</w:t>
      </w:r>
      <w:r w:rsidRPr="4FB613B9">
        <w:rPr>
          <w:rFonts w:eastAsia="Times New Roman" w:cs="Arial"/>
          <w:color w:val="3300FF"/>
          <w:sz w:val="18"/>
          <w:szCs w:val="18"/>
          <w:lang w:eastAsia="pt-BR"/>
        </w:rPr>
        <w:t xml:space="preserve"> beneficiária da justiça gratuita</w:t>
      </w:r>
      <w:r w:rsidRPr="006A52FA">
        <w:rPr>
          <w:rStyle w:val="Refdenotaderodap"/>
          <w:rFonts w:eastAsia="Times New Roman" w:cs="Arial"/>
          <w:color w:val="3300FF"/>
          <w:sz w:val="18"/>
          <w:szCs w:val="18"/>
          <w:lang w:eastAsia="pt-BR"/>
        </w:rPr>
        <w:footnoteReference w:id="4"/>
      </w:r>
      <w:r>
        <w:rPr>
          <w:rFonts w:eastAsia="Times New Roman" w:cs="Arial"/>
          <w:color w:val="3300FF"/>
          <w:sz w:val="18"/>
          <w:szCs w:val="18"/>
          <w:lang w:eastAsia="pt-BR"/>
        </w:rPr>
        <w:t xml:space="preserve"> (</w:t>
      </w:r>
      <w:r w:rsidRPr="00802382">
        <w:rPr>
          <w:rFonts w:eastAsia="Times New Roman" w:cs="Arial"/>
          <w:color w:val="3300FF"/>
          <w:sz w:val="18"/>
          <w:szCs w:val="18"/>
          <w:lang w:eastAsia="pt-BR"/>
        </w:rPr>
        <w:t xml:space="preserve">conforme </w:t>
      </w:r>
      <w:r>
        <w:rPr>
          <w:rFonts w:eastAsia="Times New Roman" w:cs="Arial"/>
          <w:color w:val="3300FF"/>
          <w:sz w:val="18"/>
          <w:szCs w:val="18"/>
          <w:lang w:eastAsia="pt-BR"/>
        </w:rPr>
        <w:t xml:space="preserve">decisão de </w:t>
      </w:r>
      <w:r w:rsidRPr="00802382">
        <w:rPr>
          <w:rFonts w:eastAsia="Times New Roman" w:cs="Arial"/>
          <w:color w:val="3300FF"/>
          <w:sz w:val="18"/>
          <w:szCs w:val="18"/>
          <w:lang w:eastAsia="pt-BR"/>
        </w:rPr>
        <w:t>mov. XX</w:t>
      </w:r>
      <w:r>
        <w:rPr>
          <w:rFonts w:eastAsia="Times New Roman" w:cs="Arial"/>
          <w:color w:val="3300FF"/>
          <w:sz w:val="18"/>
          <w:szCs w:val="18"/>
          <w:lang w:eastAsia="pt-BR"/>
        </w:rPr>
        <w:t>)</w:t>
      </w:r>
      <w:r w:rsidRPr="00802382">
        <w:rPr>
          <w:rFonts w:eastAsia="Times New Roman" w:cs="Arial"/>
          <w:color w:val="3300FF"/>
          <w:sz w:val="18"/>
          <w:szCs w:val="18"/>
          <w:lang w:eastAsia="pt-BR"/>
        </w:rPr>
        <w:t>.</w:t>
      </w:r>
    </w:p>
    <w:p w14:paraId="7D9418B8" w14:textId="77777777" w:rsidR="00BC296F" w:rsidRDefault="00BC296F" w:rsidP="00BC296F">
      <w:pPr>
        <w:spacing w:after="0" w:line="240" w:lineRule="auto"/>
        <w:jc w:val="both"/>
        <w:rPr>
          <w:rFonts w:eastAsia="Times New Roman" w:cs="Arial"/>
          <w:color w:val="3300FF"/>
          <w:sz w:val="18"/>
          <w:szCs w:val="18"/>
          <w:lang w:eastAsia="pt-BR"/>
        </w:rPr>
      </w:pPr>
    </w:p>
    <w:p w14:paraId="2979EA21" w14:textId="44FACD67" w:rsidR="00BC296F" w:rsidRDefault="00BC296F" w:rsidP="00BC296F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  <w:r w:rsidRPr="00C44464">
        <w:rPr>
          <w:rFonts w:eastAsia="Times New Roman" w:cs="Arial"/>
          <w:sz w:val="18"/>
          <w:szCs w:val="18"/>
          <w:lang w:eastAsia="pt-BR"/>
        </w:rPr>
        <w:t xml:space="preserve">Solicito, por fim, o envio de resposta com a </w:t>
      </w:r>
      <w:r>
        <w:rPr>
          <w:rFonts w:eastAsia="Times New Roman" w:cs="Arial"/>
          <w:sz w:val="18"/>
          <w:szCs w:val="18"/>
          <w:lang w:eastAsia="pt-BR"/>
        </w:rPr>
        <w:t>certidão comprobatória</w:t>
      </w:r>
      <w:r w:rsidRPr="00C44464">
        <w:rPr>
          <w:rFonts w:eastAsia="Times New Roman" w:cs="Arial"/>
          <w:sz w:val="18"/>
          <w:szCs w:val="18"/>
          <w:lang w:eastAsia="pt-BR"/>
        </w:rPr>
        <w:t xml:space="preserve"> do cumprimento da determinação judicial</w:t>
      </w:r>
      <w:r>
        <w:rPr>
          <w:rFonts w:eastAsia="Times New Roman" w:cs="Arial"/>
          <w:sz w:val="18"/>
          <w:szCs w:val="18"/>
          <w:lang w:eastAsia="pt-BR"/>
        </w:rPr>
        <w:t>, a</w:t>
      </w:r>
      <w:r w:rsidRPr="00C44464">
        <w:rPr>
          <w:rFonts w:eastAsia="Times New Roman" w:cs="Arial"/>
          <w:sz w:val="18"/>
          <w:szCs w:val="18"/>
          <w:lang w:eastAsia="pt-BR"/>
        </w:rPr>
        <w:t xml:space="preserve"> </w:t>
      </w:r>
      <w:r>
        <w:rPr>
          <w:rFonts w:eastAsia="Times New Roman" w:cs="Arial"/>
          <w:sz w:val="18"/>
          <w:szCs w:val="18"/>
          <w:lang w:eastAsia="pt-BR"/>
        </w:rPr>
        <w:t>cópia do ato realizado e o recibo do pagamento do ato (se for o caso), por meio</w:t>
      </w:r>
      <w:r w:rsidRPr="00C44464">
        <w:rPr>
          <w:rFonts w:eastAsia="Times New Roman" w:cs="Arial"/>
          <w:sz w:val="18"/>
          <w:szCs w:val="18"/>
          <w:lang w:eastAsia="pt-BR"/>
        </w:rPr>
        <w:t xml:space="preserve"> do Sistema Projudi</w:t>
      </w:r>
      <w:r>
        <w:rPr>
          <w:rFonts w:eastAsia="Times New Roman" w:cs="Arial"/>
          <w:sz w:val="18"/>
          <w:szCs w:val="18"/>
          <w:lang w:eastAsia="pt-BR"/>
        </w:rPr>
        <w:t xml:space="preserve">, </w:t>
      </w:r>
      <w:r w:rsidRPr="00C44464">
        <w:rPr>
          <w:rFonts w:eastAsia="Times New Roman" w:cs="Arial"/>
          <w:sz w:val="18"/>
          <w:szCs w:val="18"/>
          <w:lang w:eastAsia="pt-BR"/>
        </w:rPr>
        <w:t>na forma estabelecida pela Instrução Normativa Conjunta nº 136/2023-GCJ/GC.</w:t>
      </w:r>
    </w:p>
    <w:p w14:paraId="539265C8" w14:textId="77777777" w:rsidR="00BC296F" w:rsidRDefault="00BC296F" w:rsidP="00BC296F">
      <w:pPr>
        <w:spacing w:after="0" w:line="240" w:lineRule="auto"/>
        <w:jc w:val="both"/>
        <w:rPr>
          <w:rFonts w:eastAsia="Times New Roman" w:cs="Arial"/>
          <w:sz w:val="18"/>
          <w:szCs w:val="18"/>
          <w:lang w:eastAsia="pt-BR"/>
        </w:rPr>
      </w:pPr>
    </w:p>
    <w:p w14:paraId="55A3CDE7" w14:textId="588EA3CB" w:rsidR="0024544E" w:rsidRPr="008D176A" w:rsidRDefault="0024544E" w:rsidP="00245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8D176A">
        <w:rPr>
          <w:rFonts w:eastAsia="Times New Roman" w:cs="Arial"/>
          <w:b/>
          <w:bCs/>
          <w:sz w:val="14"/>
          <w:szCs w:val="14"/>
          <w:lang w:eastAsia="pt-BR"/>
        </w:rPr>
        <w:t>$assinaturaUsuarioLogadoPorOrdemJuiz2</w:t>
      </w:r>
    </w:p>
    <w:p w14:paraId="081EF661" w14:textId="5D50EB6A" w:rsidR="0024544E" w:rsidRPr="008D176A" w:rsidRDefault="0024544E" w:rsidP="0024544E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t-BR"/>
        </w:rPr>
      </w:pPr>
      <w:r w:rsidRPr="00705ACA">
        <w:rPr>
          <w:rFonts w:eastAsia="Times New Roman" w:cs="Arial"/>
          <w:i/>
          <w:iCs/>
          <w:sz w:val="14"/>
          <w:szCs w:val="14"/>
          <w:lang w:eastAsia="pt-BR"/>
        </w:rPr>
        <w:t>(Assinatura autorizada pelo Decreto Judiciário nº 7</w:t>
      </w:r>
      <w:r w:rsidR="00705ACA" w:rsidRPr="00705ACA">
        <w:rPr>
          <w:rFonts w:eastAsia="Times New Roman" w:cs="Arial"/>
          <w:i/>
          <w:iCs/>
          <w:sz w:val="14"/>
          <w:szCs w:val="14"/>
          <w:lang w:eastAsia="pt-BR"/>
        </w:rPr>
        <w:t>53</w:t>
      </w:r>
      <w:r w:rsidRPr="00705ACA">
        <w:rPr>
          <w:rFonts w:eastAsia="Times New Roman" w:cs="Arial"/>
          <w:i/>
          <w:iCs/>
          <w:sz w:val="14"/>
          <w:szCs w:val="14"/>
          <w:lang w:eastAsia="pt-BR"/>
        </w:rPr>
        <w:t>/20</w:t>
      </w:r>
      <w:r w:rsidR="00705ACA" w:rsidRPr="00705ACA">
        <w:rPr>
          <w:rFonts w:eastAsia="Times New Roman" w:cs="Arial"/>
          <w:i/>
          <w:iCs/>
          <w:sz w:val="14"/>
          <w:szCs w:val="14"/>
          <w:lang w:eastAsia="pt-BR"/>
        </w:rPr>
        <w:t>1</w:t>
      </w:r>
      <w:r w:rsidRPr="00705ACA">
        <w:rPr>
          <w:rFonts w:eastAsia="Times New Roman" w:cs="Arial"/>
          <w:i/>
          <w:iCs/>
          <w:sz w:val="14"/>
          <w:szCs w:val="14"/>
          <w:lang w:eastAsia="pt-BR"/>
        </w:rPr>
        <w:t>1)</w:t>
      </w:r>
    </w:p>
    <w:p w14:paraId="7BA17373" w14:textId="23A93B78" w:rsidR="00FC104C" w:rsidRPr="002F7FE0" w:rsidRDefault="00705ACA" w:rsidP="002F7FE0">
      <w:pPr>
        <w:spacing w:after="0" w:line="240" w:lineRule="auto"/>
        <w:jc w:val="both"/>
        <w:rPr>
          <w:rFonts w:eastAsia="Times New Roman" w:cs="Arial"/>
          <w:sz w:val="17"/>
          <w:szCs w:val="17"/>
          <w:lang w:eastAsia="pt-BR"/>
        </w:rPr>
      </w:pPr>
      <w:r w:rsidRPr="00705ACA">
        <w:rPr>
          <w:rFonts w:eastAsia="Times New Roman" w:cs="Arial"/>
          <w:b/>
          <w:bCs/>
          <w:sz w:val="14"/>
          <w:szCs w:val="14"/>
          <w:lang w:eastAsia="pt-BR"/>
        </w:rPr>
        <w:t>OBSERVAÇÃO:</w:t>
      </w:r>
      <w:r w:rsidRPr="00705ACA">
        <w:rPr>
          <w:rFonts w:eastAsia="Times New Roman" w:cs="Arial"/>
          <w:sz w:val="14"/>
          <w:szCs w:val="14"/>
          <w:lang w:eastAsia="pt-BR"/>
        </w:rPr>
        <w:t xml:space="preserve"> Comunicação expedida em conformidade com a Instrução Normativa Conjunta n</w:t>
      </w:r>
      <w:r w:rsidRPr="005202F4">
        <w:rPr>
          <w:rFonts w:eastAsia="Times New Roman" w:cs="Arial"/>
          <w:sz w:val="14"/>
          <w:szCs w:val="14"/>
          <w:lang w:eastAsia="pt-BR"/>
        </w:rPr>
        <w:t>º 136/2023-GCJ/GC</w:t>
      </w:r>
      <w:r>
        <w:rPr>
          <w:rFonts w:eastAsia="Times New Roman" w:cs="Arial"/>
          <w:sz w:val="14"/>
          <w:szCs w:val="14"/>
          <w:lang w:eastAsia="pt-BR"/>
        </w:rPr>
        <w:t xml:space="preserve">. O mencionado processo tramita exclusivamente </w:t>
      </w:r>
      <w:r w:rsidRPr="006365F9">
        <w:rPr>
          <w:rFonts w:eastAsia="Times New Roman" w:cs="Arial"/>
          <w:sz w:val="14"/>
          <w:szCs w:val="14"/>
          <w:lang w:eastAsia="pt-BR"/>
        </w:rPr>
        <w:t>pelo sistema Projudi</w:t>
      </w:r>
      <w:r>
        <w:rPr>
          <w:rFonts w:eastAsia="Times New Roman" w:cs="Arial"/>
          <w:sz w:val="14"/>
          <w:szCs w:val="14"/>
          <w:lang w:eastAsia="pt-BR"/>
        </w:rPr>
        <w:t>, acessível</w:t>
      </w:r>
      <w:r w:rsidRPr="006365F9">
        <w:rPr>
          <w:rFonts w:eastAsia="Times New Roman" w:cs="Arial"/>
          <w:sz w:val="14"/>
          <w:szCs w:val="14"/>
          <w:lang w:eastAsia="pt-BR"/>
        </w:rPr>
        <w:t xml:space="preserve"> no endereço eletrônico </w:t>
      </w:r>
      <w:r w:rsidRPr="006365F9">
        <w:rPr>
          <w:rFonts w:eastAsia="Times New Roman" w:cs="Arial"/>
          <w:b/>
          <w:bCs/>
          <w:sz w:val="14"/>
          <w:szCs w:val="14"/>
          <w:lang w:eastAsia="pt-BR"/>
        </w:rPr>
        <w:t>https://projudi.tjpr.jus.br/projudi/</w:t>
      </w:r>
      <w:r w:rsidRPr="005202F4">
        <w:rPr>
          <w:rFonts w:eastAsia="Times New Roman" w:cs="Arial"/>
          <w:bCs/>
          <w:sz w:val="14"/>
          <w:szCs w:val="14"/>
          <w:lang w:eastAsia="pt-BR"/>
        </w:rPr>
        <w:t>.</w:t>
      </w:r>
    </w:p>
    <w:sectPr w:rsidR="00FC104C" w:rsidRPr="002F7F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7B205" w14:textId="77777777" w:rsidR="00A92FDC" w:rsidRDefault="00A92FDC" w:rsidP="00A92FDC">
      <w:pPr>
        <w:spacing w:after="0" w:line="240" w:lineRule="auto"/>
      </w:pPr>
      <w:r>
        <w:separator/>
      </w:r>
    </w:p>
  </w:endnote>
  <w:endnote w:type="continuationSeparator" w:id="0">
    <w:p w14:paraId="776B903D" w14:textId="77777777" w:rsidR="00A92FDC" w:rsidRDefault="00A92FDC" w:rsidP="00A92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07B38" w14:textId="77777777" w:rsidR="00A92FDC" w:rsidRDefault="00A92FDC" w:rsidP="00A92FDC">
      <w:pPr>
        <w:spacing w:after="0" w:line="240" w:lineRule="auto"/>
      </w:pPr>
      <w:r>
        <w:separator/>
      </w:r>
    </w:p>
  </w:footnote>
  <w:footnote w:type="continuationSeparator" w:id="0">
    <w:p w14:paraId="422CAF53" w14:textId="77777777" w:rsidR="00A92FDC" w:rsidRDefault="00A92FDC" w:rsidP="00A92FDC">
      <w:pPr>
        <w:spacing w:after="0" w:line="240" w:lineRule="auto"/>
      </w:pPr>
      <w:r>
        <w:continuationSeparator/>
      </w:r>
    </w:p>
  </w:footnote>
  <w:footnote w:id="1">
    <w:p w14:paraId="5238B11E" w14:textId="7B4F4B2B" w:rsidR="002D1D73" w:rsidRPr="008D176A" w:rsidRDefault="002D1D73" w:rsidP="0080261D">
      <w:pPr>
        <w:pStyle w:val="Textodenotaderodap"/>
        <w:jc w:val="both"/>
        <w:rPr>
          <w:rFonts w:cs="Arial"/>
          <w:sz w:val="14"/>
          <w:szCs w:val="14"/>
        </w:rPr>
      </w:pPr>
      <w:r w:rsidRPr="008D176A">
        <w:rPr>
          <w:rStyle w:val="Refdenotaderodap"/>
          <w:rFonts w:cs="Arial"/>
          <w:sz w:val="14"/>
          <w:szCs w:val="14"/>
        </w:rPr>
        <w:footnoteRef/>
      </w:r>
      <w:r w:rsidRPr="008D176A">
        <w:rPr>
          <w:rFonts w:cs="Arial"/>
          <w:sz w:val="14"/>
          <w:szCs w:val="14"/>
        </w:rPr>
        <w:t xml:space="preserve"> Lei nº 6.015/1973: “Art. 107. [...] § 1º A emancipação, a interdição e a ausência serão anotadas pela mesma forma, nos assentos de nascimento e casamento, bem como a mudança do nome da mulher, em virtude de casamento, ou sua dissolução, anulação ou desquite. § 2° A dissolução e a anulação do casamento e o restabelecimento da sociedade conjugal serão, também, anotadas nos assentos de nascimento dos cônjuges</w:t>
      </w:r>
      <w:r w:rsidR="00705ACA" w:rsidRPr="008D176A">
        <w:rPr>
          <w:rFonts w:cs="Arial"/>
          <w:sz w:val="14"/>
          <w:szCs w:val="14"/>
        </w:rPr>
        <w:t>.</w:t>
      </w:r>
      <w:r w:rsidRPr="008D176A">
        <w:rPr>
          <w:rFonts w:cs="Arial"/>
          <w:sz w:val="14"/>
          <w:szCs w:val="14"/>
        </w:rPr>
        <w:t xml:space="preserve">” e </w:t>
      </w:r>
      <w:r w:rsidRPr="008D176A">
        <w:rPr>
          <w:rFonts w:eastAsia="Times New Roman" w:cs="Arial"/>
          <w:sz w:val="14"/>
          <w:szCs w:val="14"/>
          <w:lang w:eastAsia="pt-BR"/>
        </w:rPr>
        <w:t>Código de Normas do Foro Extrajudicial do TJPR</w:t>
      </w:r>
      <w:r w:rsidR="00D97422" w:rsidRPr="008D176A">
        <w:rPr>
          <w:rFonts w:eastAsia="Times New Roman" w:cs="Arial"/>
          <w:sz w:val="14"/>
          <w:szCs w:val="14"/>
          <w:lang w:eastAsia="pt-BR"/>
        </w:rPr>
        <w:t xml:space="preserve"> (Provimento nº 249/2013)</w:t>
      </w:r>
      <w:r w:rsidRPr="008D176A">
        <w:rPr>
          <w:rFonts w:eastAsia="Times New Roman" w:cs="Arial"/>
          <w:sz w:val="14"/>
          <w:szCs w:val="14"/>
          <w:lang w:eastAsia="pt-BR"/>
        </w:rPr>
        <w:t>: "Art. 378. Anotar-se-á nos assentos de casamento e de nascimento, a alteração do nome do cônjuge em virtude da separação judicial, do divórcio, da anulação do casamento e do restabelecimento da sociedade conjugal</w:t>
      </w:r>
      <w:r w:rsidR="00D97422" w:rsidRPr="008D176A">
        <w:rPr>
          <w:rFonts w:eastAsia="Times New Roman" w:cs="Arial"/>
          <w:sz w:val="14"/>
          <w:szCs w:val="14"/>
          <w:lang w:eastAsia="pt-BR"/>
        </w:rPr>
        <w:t>.</w:t>
      </w:r>
      <w:r w:rsidRPr="008D176A">
        <w:rPr>
          <w:rFonts w:eastAsia="Times New Roman" w:cs="Arial"/>
          <w:sz w:val="14"/>
          <w:szCs w:val="14"/>
          <w:lang w:eastAsia="pt-BR"/>
        </w:rPr>
        <w:t>”</w:t>
      </w:r>
      <w:r w:rsidR="00D97422" w:rsidRPr="008D176A">
        <w:rPr>
          <w:rFonts w:eastAsia="Times New Roman" w:cs="Arial"/>
          <w:sz w:val="14"/>
          <w:szCs w:val="14"/>
          <w:lang w:eastAsia="pt-BR"/>
        </w:rPr>
        <w:t>.</w:t>
      </w:r>
    </w:p>
  </w:footnote>
  <w:footnote w:id="2">
    <w:p w14:paraId="661BEC4F" w14:textId="3836907D" w:rsidR="0080261D" w:rsidRPr="008D176A" w:rsidRDefault="0080261D" w:rsidP="0080261D">
      <w:pPr>
        <w:pStyle w:val="Textodenotaderodap"/>
        <w:jc w:val="both"/>
        <w:rPr>
          <w:sz w:val="14"/>
          <w:szCs w:val="14"/>
        </w:rPr>
      </w:pPr>
      <w:r w:rsidRPr="008D176A">
        <w:rPr>
          <w:rStyle w:val="Refdenotaderodap"/>
          <w:sz w:val="14"/>
          <w:szCs w:val="14"/>
        </w:rPr>
        <w:footnoteRef/>
      </w:r>
      <w:r w:rsidRPr="008D176A">
        <w:rPr>
          <w:sz w:val="14"/>
          <w:szCs w:val="14"/>
        </w:rPr>
        <w:t xml:space="preserve"> Código de Normas do Foro Extrajudicial do TJPR</w:t>
      </w:r>
      <w:r w:rsidR="00D97422" w:rsidRPr="008D176A">
        <w:rPr>
          <w:sz w:val="14"/>
          <w:szCs w:val="14"/>
        </w:rPr>
        <w:t xml:space="preserve"> </w:t>
      </w:r>
      <w:r w:rsidR="00D97422" w:rsidRPr="008D176A">
        <w:rPr>
          <w:rFonts w:eastAsia="Times New Roman" w:cs="Arial"/>
          <w:sz w:val="14"/>
          <w:szCs w:val="14"/>
          <w:lang w:eastAsia="pt-BR"/>
        </w:rPr>
        <w:t>(Provimento nº 249/2013)</w:t>
      </w:r>
      <w:r w:rsidRPr="008D176A">
        <w:rPr>
          <w:sz w:val="14"/>
          <w:szCs w:val="14"/>
        </w:rPr>
        <w:t>: “Art. 372. Na averbação da sentença de separação judicial, de divórcio ou de restabelecimento da sociedade conjugal, indicar-se-á o juízo e o nome do Juiz que a proferiu, a data da sentença e do trânsito em julgado, a parte dispositiva e eventual alteração dos nomes, com indicação do livro, folha, número do termo e serventia onde foi registrada. § 1º Caso no mandado, na sentença ou na escritura seja mencionada expressamente a partilha dos bens do casal ou a inexistência de bens a partilhar, poderão tais informações constar da averbação do divórcio para fins de publicidade.”</w:t>
      </w:r>
      <w:r w:rsidR="00D97422" w:rsidRPr="008D176A">
        <w:rPr>
          <w:sz w:val="14"/>
          <w:szCs w:val="14"/>
        </w:rPr>
        <w:t>.</w:t>
      </w:r>
    </w:p>
  </w:footnote>
  <w:footnote w:id="3">
    <w:p w14:paraId="53697674" w14:textId="77777777" w:rsidR="00BC296F" w:rsidRPr="00E07603" w:rsidRDefault="00BC296F" w:rsidP="00BC296F">
      <w:pPr>
        <w:pStyle w:val="Textodenotaderodap"/>
        <w:jc w:val="both"/>
        <w:rPr>
          <w:rFonts w:cs="Arial"/>
          <w:sz w:val="18"/>
        </w:rPr>
      </w:pPr>
      <w:r w:rsidRPr="00E07603">
        <w:rPr>
          <w:rStyle w:val="Refdenotaderodap"/>
          <w:rFonts w:cs="Arial"/>
          <w:sz w:val="14"/>
          <w:szCs w:val="16"/>
        </w:rPr>
        <w:footnoteRef/>
      </w:r>
      <w:r w:rsidRPr="00E07603">
        <w:rPr>
          <w:rFonts w:cs="Arial"/>
          <w:sz w:val="14"/>
          <w:szCs w:val="16"/>
        </w:rPr>
        <w:t xml:space="preserve"> Código de Normas do Foro Extrajudicial do TJPR</w:t>
      </w:r>
      <w:r>
        <w:rPr>
          <w:rFonts w:cs="Arial"/>
          <w:sz w:val="14"/>
          <w:szCs w:val="16"/>
        </w:rPr>
        <w:t xml:space="preserve"> (Provimento nº 249/2013)</w:t>
      </w:r>
      <w:r w:rsidRPr="00E07603">
        <w:rPr>
          <w:rFonts w:cs="Arial"/>
          <w:sz w:val="14"/>
          <w:szCs w:val="16"/>
        </w:rPr>
        <w:t xml:space="preserve">: “Art. 491. Não se fará registro ou averbação nos cadastros do serviço sem o prévio recolhimento da receita devida ao Funrejus, </w:t>
      </w:r>
      <w:r w:rsidRPr="00A405E2">
        <w:rPr>
          <w:rFonts w:cs="Arial"/>
          <w:sz w:val="14"/>
          <w:szCs w:val="16"/>
          <w:u w:val="single"/>
        </w:rPr>
        <w:t>salvo nas hipóteses de expressa dispensa ou diferimento legal</w:t>
      </w:r>
      <w:r w:rsidRPr="00E07603">
        <w:rPr>
          <w:rFonts w:cs="Arial"/>
          <w:sz w:val="14"/>
          <w:szCs w:val="16"/>
        </w:rPr>
        <w:t xml:space="preserve"> do pagamento. [...] § 2º Nos atos oriundos de reclamações trabalhistas (no interesse do empregado), de executivos fiscais, de execuções nos Juizados Especiais, bem como os atos contemplados pela </w:t>
      </w:r>
      <w:r w:rsidRPr="00224495">
        <w:rPr>
          <w:rFonts w:cs="Arial"/>
          <w:sz w:val="14"/>
          <w:szCs w:val="16"/>
          <w:u w:val="single"/>
        </w:rPr>
        <w:t>gratuidade processual</w:t>
      </w:r>
      <w:r w:rsidRPr="00E07603">
        <w:rPr>
          <w:rFonts w:cs="Arial"/>
          <w:sz w:val="14"/>
          <w:szCs w:val="16"/>
        </w:rPr>
        <w:t xml:space="preserve"> ou praticados no interesse de órgãos dispensados de antecipação de custas e emolumentos, o registrador encaminhará ofício ao juízo da causa informando o valor dos emolumentos e da taxa devida ao Funrejus para oportuna inclusão na conta geral da execução (ver Ofício-Circular nº 102/2008), procedendo ao registro ou à averbação cabível independentemente de prévio recolhimento.”</w:t>
      </w:r>
      <w:r>
        <w:rPr>
          <w:rFonts w:cs="Arial"/>
          <w:sz w:val="14"/>
          <w:szCs w:val="16"/>
        </w:rPr>
        <w:t>.</w:t>
      </w:r>
    </w:p>
  </w:footnote>
  <w:footnote w:id="4">
    <w:p w14:paraId="0FF2229A" w14:textId="77777777" w:rsidR="00BC296F" w:rsidRPr="005202F4" w:rsidRDefault="00BC296F" w:rsidP="00BC296F">
      <w:pPr>
        <w:pStyle w:val="Textodenotaderodap"/>
        <w:jc w:val="both"/>
        <w:rPr>
          <w:rFonts w:cs="Arial"/>
          <w:sz w:val="14"/>
          <w:szCs w:val="14"/>
        </w:rPr>
      </w:pPr>
      <w:r w:rsidRPr="005202F4">
        <w:rPr>
          <w:rStyle w:val="Refdenotaderodap"/>
          <w:rFonts w:cs="Arial"/>
          <w:sz w:val="14"/>
          <w:szCs w:val="14"/>
        </w:rPr>
        <w:footnoteRef/>
      </w:r>
      <w:r w:rsidRPr="005202F4">
        <w:rPr>
          <w:rFonts w:cs="Arial"/>
          <w:sz w:val="14"/>
          <w:szCs w:val="14"/>
        </w:rPr>
        <w:t xml:space="preserve"> Código de Normas do Foro Extrajudicial do TJPR (Provimento nº 249/2013): “Art. 104. [...] Parágrafo único. Serão gratuitos os atos de registro e averbação praticados em cumprimento de mandados judiciais, expedidos em favor da parte beneficiária da justiça gratuita, sempre que determinado pelo juízo, constando expressamente no mandado, quando deferida a gratuidade.”.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DB2"/>
    <w:rsid w:val="000A39BF"/>
    <w:rsid w:val="000A57C5"/>
    <w:rsid w:val="0023796A"/>
    <w:rsid w:val="0024544E"/>
    <w:rsid w:val="002D1D73"/>
    <w:rsid w:val="002F7FE0"/>
    <w:rsid w:val="00302E06"/>
    <w:rsid w:val="00352FBB"/>
    <w:rsid w:val="00502E6E"/>
    <w:rsid w:val="00631162"/>
    <w:rsid w:val="00690EEC"/>
    <w:rsid w:val="00705ACA"/>
    <w:rsid w:val="00780846"/>
    <w:rsid w:val="007E68E8"/>
    <w:rsid w:val="0080261D"/>
    <w:rsid w:val="008D176A"/>
    <w:rsid w:val="00910729"/>
    <w:rsid w:val="00A15813"/>
    <w:rsid w:val="00A92FDC"/>
    <w:rsid w:val="00B31DB2"/>
    <w:rsid w:val="00B3356A"/>
    <w:rsid w:val="00B71A8C"/>
    <w:rsid w:val="00BB4EAB"/>
    <w:rsid w:val="00BC296F"/>
    <w:rsid w:val="00C11149"/>
    <w:rsid w:val="00C67FFC"/>
    <w:rsid w:val="00CA5C09"/>
    <w:rsid w:val="00CB1028"/>
    <w:rsid w:val="00D85BB0"/>
    <w:rsid w:val="00D97422"/>
    <w:rsid w:val="00EF6C1B"/>
    <w:rsid w:val="00F651D3"/>
    <w:rsid w:val="00FB0D36"/>
    <w:rsid w:val="00FC104C"/>
    <w:rsid w:val="243A5731"/>
    <w:rsid w:val="7B9BE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71D8E"/>
  <w15:chartTrackingRefBased/>
  <w15:docId w15:val="{9FDADAA8-8153-49F3-B9F8-A725BFA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DB2"/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paragraph" w:customStyle="1" w:styleId="paragraph">
    <w:name w:val="paragraph"/>
    <w:basedOn w:val="Normal"/>
    <w:rsid w:val="00B3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B31DB2"/>
  </w:style>
  <w:style w:type="character" w:styleId="Forte">
    <w:name w:val="Strong"/>
    <w:basedOn w:val="Fontepargpadro"/>
    <w:uiPriority w:val="22"/>
    <w:qFormat/>
    <w:rsid w:val="00B31DB2"/>
    <w:rPr>
      <w:b/>
      <w:bCs/>
    </w:rPr>
  </w:style>
  <w:style w:type="character" w:customStyle="1" w:styleId="eop">
    <w:name w:val="eop"/>
    <w:basedOn w:val="Fontepargpadro"/>
    <w:rsid w:val="00B31DB2"/>
  </w:style>
  <w:style w:type="character" w:styleId="Hyperlink">
    <w:name w:val="Hyperlink"/>
    <w:basedOn w:val="Fontepargpadro"/>
    <w:uiPriority w:val="99"/>
    <w:semiHidden/>
    <w:unhideWhenUsed/>
    <w:rsid w:val="000A57C5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910729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unhideWhenUsed/>
    <w:rsid w:val="00A92FD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A92FDC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2FDC"/>
    <w:rPr>
      <w:vertAlign w:val="superscript"/>
    </w:rPr>
  </w:style>
  <w:style w:type="paragraph" w:styleId="Reviso">
    <w:name w:val="Revision"/>
    <w:hidden/>
    <w:uiPriority w:val="99"/>
    <w:semiHidden/>
    <w:rsid w:val="00BC296F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8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9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9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4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26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2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8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43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33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4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2A45C2C6503342A5068DFB1C8111BB" ma:contentTypeVersion="12" ma:contentTypeDescription="Crie um novo documento." ma:contentTypeScope="" ma:versionID="1a0ea09959ddceb0f37751b2c979dc92">
  <xsd:schema xmlns:xsd="http://www.w3.org/2001/XMLSchema" xmlns:xs="http://www.w3.org/2001/XMLSchema" xmlns:p="http://schemas.microsoft.com/office/2006/metadata/properties" xmlns:ns2="63ccb0ab-99c2-410e-ab92-bfe50cfff847" xmlns:ns3="763c842a-fc11-4959-a685-c57224465708" targetNamespace="http://schemas.microsoft.com/office/2006/metadata/properties" ma:root="true" ma:fieldsID="1f5eba8973ce3a3a0b9e6fc9e7404eb8" ns2:_="" ns3:_="">
    <xsd:import namespace="63ccb0ab-99c2-410e-ab92-bfe50cfff847"/>
    <xsd:import namespace="763c842a-fc11-4959-a685-c572244657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cb0ab-99c2-410e-ab92-bfe50cfff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c842a-fc11-4959-a685-c572244657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94DD2-4A53-4070-8BEF-F7F7B8697B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A5D04B-B128-4C20-8D79-5976D1840A90}">
  <ds:schemaRefs>
    <ds:schemaRef ds:uri="1da25024-c2c0-4b47-8ded-424dc3ca25c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cee5456-31ae-4776-ab0a-cb92274a15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F42F539-E533-408F-8A02-BDD4DC31B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cb0ab-99c2-410e-ab92-bfe50cfff847"/>
    <ds:schemaRef ds:uri="763c842a-fc11-4959-a685-c572244657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B69177-D868-448D-9FCB-AE7139D4B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434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Carol Foltran</cp:lastModifiedBy>
  <cp:revision>17</cp:revision>
  <dcterms:created xsi:type="dcterms:W3CDTF">2021-10-28T18:49:00Z</dcterms:created>
  <dcterms:modified xsi:type="dcterms:W3CDTF">2023-07-03T20:29:00Z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0x0101005F2A45C2C6503342A5068DFB1C8111BB</vt:lpwstr>
  </property>
</Properties>
</file>