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C851" w14:textId="2DB69A2F" w:rsidR="00B96159" w:rsidRPr="00B10309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45F6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1700ACE9" w14:textId="77777777" w:rsidR="00B96159" w:rsidRPr="00B10309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45F6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FF62630" w14:textId="77777777" w:rsidR="00B96159" w:rsidRPr="00B10309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45F6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B96159" w:rsidRPr="00045F6F" w14:paraId="78EF66FF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3B41C" w14:textId="77777777" w:rsidR="00B96159" w:rsidRPr="00B10309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C18A9D" w14:textId="77777777" w:rsidR="00B96159" w:rsidRPr="00B10309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045F6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045F6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45F6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045F6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045F6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B96159" w:rsidRPr="00045F6F" w14:paraId="684A96B6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F4D29" w14:textId="77777777" w:rsidR="00B96159" w:rsidRPr="00B10309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4FE680" w14:textId="77777777" w:rsidR="00B96159" w:rsidRPr="00B10309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B96159" w:rsidRPr="00045F6F" w14:paraId="3348B450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4B8A2" w14:textId="77777777" w:rsidR="00B96159" w:rsidRPr="00B10309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5F6F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45F6F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ABE3A3" w14:textId="77777777" w:rsidR="00B96159" w:rsidRPr="00B10309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45F6F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073A4193" w14:textId="77777777" w:rsidR="00B96159" w:rsidRPr="00B10309" w:rsidRDefault="00B96159" w:rsidP="00B9615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B10309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B10309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proofErr w:type="spellEnd"/>
      <w:r w:rsidRPr="00B10309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B10309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B10309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B10309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B10309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B10309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B10309">
        <w:rPr>
          <w:rFonts w:eastAsia="Times New Roman" w:cs="Arial"/>
          <w:b/>
          <w:bCs/>
          <w:u w:val="single"/>
          <w:lang w:eastAsia="pt-BR"/>
        </w:rPr>
        <w:t>()</w:t>
      </w:r>
      <w:r w:rsidRPr="00B10309">
        <w:rPr>
          <w:rFonts w:eastAsia="Times New Roman" w:cs="Arial"/>
          <w:lang w:eastAsia="pt-BR"/>
        </w:rPr>
        <w:br/>
      </w:r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45F6F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0708585B" w14:textId="5145CB13" w:rsidR="00E90A7F" w:rsidRPr="00B10309" w:rsidRDefault="00045F6F" w:rsidP="00E90A7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E739F">
        <w:rPr>
          <w:rFonts w:eastAsia="Times New Roman" w:cs="Arial"/>
          <w:i/>
          <w:color w:val="3300FF"/>
          <w:sz w:val="14"/>
          <w:szCs w:val="14"/>
          <w:lang w:eastAsia="pt-BR"/>
        </w:rPr>
        <w:t xml:space="preserve">cumprimento preferencial </w:t>
      </w:r>
      <w:r w:rsidRPr="00B10309">
        <w:rPr>
          <w:rFonts w:eastAsia="Times New Roman" w:cs="Arial"/>
          <w:i/>
          <w:color w:val="3300FF"/>
          <w:sz w:val="14"/>
          <w:szCs w:val="14"/>
          <w:lang w:eastAsia="pt-BR"/>
        </w:rPr>
        <w:t>por meio eletrônico</w:t>
      </w:r>
      <w:r w:rsidR="00E90A7F" w:rsidRPr="00B10309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4BDD2783" w14:textId="10D802FA" w:rsidR="00B96159" w:rsidRPr="00B10309" w:rsidRDefault="00B96159" w:rsidP="00B10309">
      <w:pPr>
        <w:tabs>
          <w:tab w:val="left" w:pos="2708"/>
        </w:tabs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E41BC28" w14:textId="77777777" w:rsidR="00B96159" w:rsidRPr="00B10309" w:rsidRDefault="00B96159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045F6F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045F6F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045F6F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045F6F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045F6F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045F6F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045F6F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5F6F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45F6F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ADC3621" w14:textId="77777777" w:rsidR="00B96159" w:rsidRPr="00B10309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D109437" w14:textId="77777777" w:rsidR="00045F6F" w:rsidRDefault="00D736C7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045F6F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045F6F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045F6F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045F6F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045F6F">
        <w:rPr>
          <w:rFonts w:eastAsia="Times New Roman" w:cs="Arial"/>
          <w:sz w:val="18"/>
          <w:szCs w:val="18"/>
          <w:lang w:eastAsia="pt-BR"/>
        </w:rPr>
        <w:t>:</w:t>
      </w:r>
    </w:p>
    <w:p w14:paraId="4DE12076" w14:textId="77777777" w:rsidR="00045F6F" w:rsidRDefault="00045F6F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0D3DC716" w14:textId="7D8C751C" w:rsidR="00045F6F" w:rsidRDefault="00045F6F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B10309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D736C7" w:rsidRPr="00045F6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D736C7" w:rsidRPr="00045F6F">
        <w:rPr>
          <w:rFonts w:eastAsia="Times New Roman" w:cs="Arial"/>
          <w:sz w:val="18"/>
          <w:szCs w:val="18"/>
          <w:lang w:eastAsia="pt-BR"/>
        </w:rPr>
        <w:t xml:space="preserve"> da parte acima indicada</w:t>
      </w:r>
      <w:r w:rsidR="00D736C7" w:rsidRPr="00045F6F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D736C7" w:rsidRPr="00045F6F">
        <w:rPr>
          <w:rFonts w:eastAsia="Times New Roman" w:cs="Arial"/>
          <w:sz w:val="18"/>
          <w:szCs w:val="18"/>
          <w:lang w:eastAsia="pt-BR"/>
        </w:rPr>
        <w:t xml:space="preserve">dos termos da presente </w:t>
      </w:r>
      <w:r w:rsidR="00D736C7" w:rsidRPr="00045F6F">
        <w:rPr>
          <w:rFonts w:eastAsia="Times New Roman" w:cs="Arial"/>
          <w:b/>
          <w:sz w:val="18"/>
          <w:szCs w:val="18"/>
          <w:lang w:eastAsia="pt-BR"/>
        </w:rPr>
        <w:t>Ação de Execução Extrajudicial de Alimentos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2"/>
      </w:r>
      <w:r w:rsidR="00D736C7" w:rsidRPr="00045F6F">
        <w:rPr>
          <w:rFonts w:eastAsia="Times New Roman" w:cs="Arial"/>
          <w:sz w:val="18"/>
          <w:szCs w:val="18"/>
          <w:lang w:eastAsia="pt-BR"/>
        </w:rPr>
        <w:t xml:space="preserve">, </w:t>
      </w:r>
      <w:r w:rsidR="00D736C7" w:rsidRPr="00045F6F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considerando o título extrajudicial formado com a escritura pública de divórcio</w:t>
      </w:r>
      <w:r w:rsidR="00D736C7" w:rsidRPr="00045F6F">
        <w:rPr>
          <w:rFonts w:eastAsia="Times New Roman" w:cs="Arial"/>
          <w:sz w:val="18"/>
          <w:szCs w:val="18"/>
          <w:lang w:eastAsia="pt-BR"/>
        </w:rPr>
        <w:t xml:space="preserve">. </w:t>
      </w:r>
    </w:p>
    <w:p w14:paraId="4B8D9FBF" w14:textId="77777777" w:rsidR="00045F6F" w:rsidRDefault="00045F6F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0EE6E6D" w14:textId="22290291" w:rsidR="00F837E5" w:rsidRPr="00045F6F" w:rsidRDefault="00F837E5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0F4B76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0F4B7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 para, no 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 xml:space="preserve">prazo de </w:t>
      </w:r>
      <w:r w:rsidRPr="000F4B76">
        <w:rPr>
          <w:rFonts w:eastAsia="Times New Roman" w:cs="Arial"/>
          <w:b/>
          <w:bCs/>
          <w:sz w:val="18"/>
          <w:szCs w:val="18"/>
          <w:lang w:eastAsia="pt-BR"/>
        </w:rPr>
        <w:t>0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>3 (três) dias</w:t>
      </w:r>
      <w:r w:rsidRPr="000F4B76">
        <w:rPr>
          <w:rFonts w:eastAsia="Times New Roman" w:cs="Arial"/>
          <w:b/>
          <w:bCs/>
          <w:sz w:val="18"/>
          <w:szCs w:val="18"/>
          <w:lang w:eastAsia="pt-BR"/>
        </w:rPr>
        <w:t xml:space="preserve"> úteis,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 xml:space="preserve"> efetuar o pagamento d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e R$ </w:t>
      </w:r>
      <w:r w:rsidRPr="000F4B76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XXX,XX (valor por extenso)</w:t>
      </w:r>
      <w:r>
        <w:rPr>
          <w:rStyle w:val="Refdenotaderodap"/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footnoteReference w:id="3"/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, 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 xml:space="preserve">relativo </w:t>
      </w:r>
      <w:r>
        <w:rPr>
          <w:rFonts w:eastAsia="Times New Roman" w:cs="Arial"/>
          <w:b/>
          <w:bCs/>
          <w:sz w:val="18"/>
          <w:szCs w:val="18"/>
          <w:lang w:eastAsia="pt-BR"/>
        </w:rPr>
        <w:t>às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 xml:space="preserve"> parcelas de prestação alimentícia</w:t>
      </w:r>
      <w:r w:rsidRPr="000F4B76">
        <w:rPr>
          <w:rFonts w:eastAsia="Times New Roman" w:cs="Arial"/>
          <w:b/>
          <w:bCs/>
          <w:sz w:val="18"/>
          <w:szCs w:val="18"/>
          <w:lang w:eastAsia="pt-BR"/>
        </w:rPr>
        <w:t xml:space="preserve"> vencidas </w:t>
      </w:r>
      <w:r w:rsidRPr="00B97443">
        <w:rPr>
          <w:rFonts w:eastAsia="Times New Roman" w:cs="Arial"/>
          <w:bCs/>
          <w:sz w:val="18"/>
          <w:szCs w:val="18"/>
          <w:lang w:eastAsia="pt-BR"/>
        </w:rPr>
        <w:t>anteriormente ao início da execução</w:t>
      </w:r>
      <w:r>
        <w:rPr>
          <w:rFonts w:eastAsia="Times New Roman" w:cs="Arial"/>
          <w:bCs/>
          <w:sz w:val="18"/>
          <w:szCs w:val="18"/>
          <w:lang w:eastAsia="pt-BR"/>
        </w:rPr>
        <w:t xml:space="preserve">, </w:t>
      </w:r>
      <w:r w:rsidRPr="000F4B76">
        <w:rPr>
          <w:rFonts w:eastAsia="Times New Roman" w:cs="Arial"/>
          <w:bCs/>
          <w:sz w:val="18"/>
          <w:szCs w:val="18"/>
          <w:lang w:eastAsia="pt-BR"/>
        </w:rPr>
        <w:t xml:space="preserve">conforme cálculos </w:t>
      </w:r>
      <w:r w:rsidRPr="000F4B76">
        <w:rPr>
          <w:rFonts w:eastAsia="Times New Roman" w:cs="Arial"/>
          <w:bCs/>
          <w:iCs/>
          <w:color w:val="0000FF"/>
          <w:sz w:val="18"/>
          <w:szCs w:val="18"/>
          <w:lang w:eastAsia="pt-BR"/>
        </w:rPr>
        <w:t>em anexo</w:t>
      </w:r>
      <w:r>
        <w:rPr>
          <w:rFonts w:eastAsia="Times New Roman" w:cs="Arial"/>
          <w:bCs/>
          <w:sz w:val="18"/>
          <w:szCs w:val="18"/>
          <w:lang w:eastAsia="pt-BR"/>
        </w:rPr>
        <w:t>, bem como o</w:t>
      </w:r>
      <w:r w:rsidRPr="00B97443">
        <w:rPr>
          <w:rFonts w:eastAsia="Times New Roman" w:cs="Arial"/>
          <w:bCs/>
          <w:sz w:val="18"/>
          <w:szCs w:val="18"/>
          <w:lang w:eastAsia="pt-BR"/>
        </w:rPr>
        <w:t xml:space="preserve"> das </w:t>
      </w:r>
      <w:r w:rsidRPr="00B10309">
        <w:rPr>
          <w:rFonts w:eastAsia="Times New Roman" w:cs="Arial"/>
          <w:b/>
          <w:bCs/>
          <w:sz w:val="18"/>
          <w:szCs w:val="18"/>
          <w:lang w:eastAsia="pt-BR"/>
        </w:rPr>
        <w:t>que se vencerem no seu curso</w:t>
      </w:r>
      <w:r w:rsidRPr="00B97443">
        <w:rPr>
          <w:rFonts w:eastAsia="Times New Roman" w:cs="Arial"/>
          <w:bCs/>
          <w:sz w:val="18"/>
          <w:szCs w:val="18"/>
          <w:lang w:eastAsia="pt-BR"/>
        </w:rPr>
        <w:t>, provar que o fez ou justificar a impossibilidade de fazê-lo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, sob pena de 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>protesto do pronunciamento judicial e decretação da prisão civil pelo prazo de </w:t>
      </w:r>
      <w:r w:rsidRPr="000F4B76">
        <w:rPr>
          <w:rFonts w:eastAsia="Times New Roman" w:cs="Arial"/>
          <w:b/>
          <w:bCs/>
          <w:sz w:val="18"/>
          <w:szCs w:val="18"/>
          <w:lang w:eastAsia="pt-BR"/>
        </w:rPr>
        <w:t>01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 xml:space="preserve"> (um) a </w:t>
      </w:r>
      <w:r w:rsidRPr="000F4B76">
        <w:rPr>
          <w:rFonts w:eastAsia="Times New Roman" w:cs="Arial"/>
          <w:b/>
          <w:bCs/>
          <w:sz w:val="18"/>
          <w:szCs w:val="18"/>
          <w:lang w:eastAsia="pt-BR"/>
        </w:rPr>
        <w:t>0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>3 (três) meses, a qual será cumprida em regime fechado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 (art. 528, §§ 1º, 3º e 4º, CPC).</w:t>
      </w:r>
    </w:p>
    <w:p w14:paraId="2898468D" w14:textId="057D9A87" w:rsidR="00B96159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87E1CFC" w14:textId="292057BE" w:rsidR="00045F6F" w:rsidRPr="00305494" w:rsidRDefault="00045F6F" w:rsidP="00045F6F">
      <w:pPr>
        <w:pStyle w:val="SemEspaamento"/>
        <w:rPr>
          <w:rFonts w:cs="Arial"/>
          <w:bCs/>
          <w:sz w:val="18"/>
          <w:szCs w:val="18"/>
        </w:rPr>
      </w:pPr>
      <w:r w:rsidRPr="00B10309">
        <w:rPr>
          <w:rFonts w:cs="Arial"/>
          <w:b/>
          <w:sz w:val="18"/>
          <w:szCs w:val="18"/>
        </w:rPr>
        <w:t>3.</w:t>
      </w:r>
      <w:r w:rsidRPr="005A097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092AC5B8" w14:textId="77777777" w:rsidR="00045F6F" w:rsidRDefault="00045F6F" w:rsidP="00045F6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48EFD2F9" w14:textId="77777777" w:rsidR="00045F6F" w:rsidRPr="002A0A2D" w:rsidRDefault="00045F6F" w:rsidP="00045F6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37D7DF7" w14:textId="77777777" w:rsidR="00045F6F" w:rsidRDefault="00045F6F" w:rsidP="0004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494">
        <w:rPr>
          <w:rFonts w:eastAsia="Times New Roman" w:cs="Arial"/>
          <w:sz w:val="18"/>
          <w:szCs w:val="18"/>
        </w:rPr>
        <w:t xml:space="preserve">O(A) Oficial de Justiça </w:t>
      </w:r>
      <w:r w:rsidRPr="00305494"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 w:rsidRPr="00305494">
        <w:rPr>
          <w:rFonts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eastAsia="Times New Roman" w:cs="Arial"/>
          <w:sz w:val="18"/>
          <w:szCs w:val="18"/>
        </w:rPr>
        <w:t>possui outros endereços onde pode ser localizado(a) ou meios para ser contatado(a)</w:t>
      </w:r>
      <w:r>
        <w:rPr>
          <w:rFonts w:eastAsia="Times New Roman" w:cs="Arial"/>
          <w:sz w:val="18"/>
          <w:szCs w:val="18"/>
        </w:rPr>
        <w:t>, assim como</w:t>
      </w:r>
      <w:r w:rsidRPr="00305494">
        <w:rPr>
          <w:rFonts w:eastAsia="Times New Roman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0562898" w14:textId="77777777" w:rsidR="00045F6F" w:rsidRPr="000B48C6" w:rsidRDefault="00045F6F" w:rsidP="00045F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34605471" w14:textId="58D2D13D" w:rsidR="00045F6F" w:rsidRDefault="00045F6F" w:rsidP="0004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6E944B64" w14:textId="77777777" w:rsidR="00045F6F" w:rsidRPr="000B48C6" w:rsidRDefault="00045F6F" w:rsidP="00045F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3E9DDE1F" w14:textId="4A1D1B16" w:rsidR="00045F6F" w:rsidRDefault="00045F6F" w:rsidP="00045F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1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61F9C9CC" w14:textId="77777777" w:rsidR="00045F6F" w:rsidRPr="00B10309" w:rsidRDefault="00045F6F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33C4F811" w14:textId="77777777" w:rsidR="00045F6F" w:rsidRPr="005E22C2" w:rsidRDefault="00045F6F" w:rsidP="0004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6F79BB6" w14:textId="0C1B7E66" w:rsidR="00B96159" w:rsidRPr="00B10309" w:rsidRDefault="00045F6F" w:rsidP="00B9615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eastAsia="Times New Roman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7</w:t>
      </w:r>
      <w:r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41D55C7" w14:textId="28A04FE2" w:rsidR="00B96159" w:rsidRPr="00B10309" w:rsidRDefault="00045F6F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lastRenderedPageBreak/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, que deverá ser solicitada à Secretaria da Unidade Judicial. </w:t>
      </w:r>
      <w:r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Pr="006A52FA">
        <w:rPr>
          <w:rFonts w:eastAsia="Times New Roman" w:cs="Arial"/>
          <w:sz w:val="14"/>
          <w:szCs w:val="14"/>
          <w:lang w:eastAsia="pt-BR"/>
        </w:rPr>
        <w:t>.</w:t>
      </w:r>
    </w:p>
    <w:sectPr w:rsidR="00B96159" w:rsidRPr="00B10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07B5" w14:textId="77777777" w:rsidR="00D736C7" w:rsidRDefault="00D736C7" w:rsidP="00D736C7">
      <w:pPr>
        <w:spacing w:after="0" w:line="240" w:lineRule="auto"/>
      </w:pPr>
      <w:r>
        <w:separator/>
      </w:r>
    </w:p>
  </w:endnote>
  <w:endnote w:type="continuationSeparator" w:id="0">
    <w:p w14:paraId="3264C8B3" w14:textId="77777777" w:rsidR="00D736C7" w:rsidRDefault="00D736C7" w:rsidP="00D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3648" w14:textId="77777777" w:rsidR="00D736C7" w:rsidRDefault="00D736C7" w:rsidP="00D736C7">
      <w:pPr>
        <w:spacing w:after="0" w:line="240" w:lineRule="auto"/>
      </w:pPr>
      <w:r>
        <w:separator/>
      </w:r>
    </w:p>
  </w:footnote>
  <w:footnote w:type="continuationSeparator" w:id="0">
    <w:p w14:paraId="0095902A" w14:textId="77777777" w:rsidR="00D736C7" w:rsidRDefault="00D736C7" w:rsidP="00D736C7">
      <w:pPr>
        <w:spacing w:after="0" w:line="240" w:lineRule="auto"/>
      </w:pPr>
      <w:r>
        <w:continuationSeparator/>
      </w:r>
    </w:p>
  </w:footnote>
  <w:footnote w:id="1">
    <w:p w14:paraId="66324EC2" w14:textId="222051EA" w:rsidR="00E90A7F" w:rsidRPr="006106E5" w:rsidRDefault="00E90A7F" w:rsidP="00E90A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B10309">
        <w:rPr>
          <w:rStyle w:val="Refdenotaderodap"/>
          <w:sz w:val="14"/>
          <w:szCs w:val="14"/>
        </w:rPr>
        <w:footnoteRef/>
      </w:r>
      <w:r w:rsidRPr="00B10309">
        <w:rPr>
          <w:sz w:val="14"/>
          <w:szCs w:val="14"/>
        </w:rPr>
        <w:t xml:space="preserve"> </w:t>
      </w:r>
      <w:r w:rsidR="00045F6F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045F6F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045F6F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045F6F">
        <w:rPr>
          <w:rFonts w:eastAsia="Times New Roman" w:cs="Arial"/>
          <w:sz w:val="14"/>
          <w:szCs w:val="14"/>
          <w:lang w:eastAsia="pt-BR"/>
        </w:rPr>
        <w:t xml:space="preserve">. </w:t>
      </w:r>
      <w:r w:rsidR="00045F6F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045F6F">
        <w:rPr>
          <w:rFonts w:eastAsia="Times New Roman" w:cs="Arial"/>
          <w:sz w:val="14"/>
          <w:szCs w:val="14"/>
          <w:lang w:eastAsia="pt-BR"/>
        </w:rPr>
        <w:t xml:space="preserve"> </w:t>
      </w:r>
      <w:r w:rsidR="00045F6F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045F6F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045F6F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045F6F">
        <w:rPr>
          <w:rFonts w:eastAsia="Times New Roman" w:cs="Arial"/>
          <w:sz w:val="14"/>
          <w:szCs w:val="14"/>
          <w:lang w:eastAsia="pt-BR"/>
        </w:rPr>
        <w:t>,</w:t>
      </w:r>
      <w:r w:rsidR="00045F6F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045F6F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045F6F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045F6F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7DAD37E3" w14:textId="43EC4892" w:rsidR="00045F6F" w:rsidRDefault="00045F6F" w:rsidP="00B10309">
      <w:pPr>
        <w:pStyle w:val="Textodenotaderodap"/>
        <w:jc w:val="both"/>
      </w:pPr>
      <w:r w:rsidRPr="00B10309">
        <w:rPr>
          <w:rStyle w:val="Refdenotaderodap"/>
          <w:sz w:val="14"/>
          <w:szCs w:val="14"/>
        </w:rPr>
        <w:footnoteRef/>
      </w:r>
      <w:r w:rsidRPr="00B10309">
        <w:rPr>
          <w:sz w:val="14"/>
          <w:szCs w:val="14"/>
        </w:rPr>
        <w:t xml:space="preserve"> </w:t>
      </w:r>
      <w:r w:rsidRPr="00B97443">
        <w:rPr>
          <w:rFonts w:cs="Arial"/>
          <w:sz w:val="14"/>
          <w:szCs w:val="14"/>
        </w:rPr>
        <w:t>Código de Processo Civil: “</w:t>
      </w:r>
      <w:r w:rsidRPr="00B97443">
        <w:rPr>
          <w:rFonts w:cs="Arial"/>
          <w:color w:val="000000"/>
          <w:sz w:val="14"/>
          <w:szCs w:val="14"/>
        </w:rPr>
        <w:t xml:space="preserve">Art. 911. Na execução fundada em título executivo extrajudicial que contenha obrigação alimentar, o juiz mandará citar o executado para, em 3 (três) dias, efetuar o pagamento das parcelas anteriores ao início da execução e das que se vencerem no seu curso, provar que o fez ou justificar a impossibilidade de fazê-lo. </w:t>
      </w:r>
      <w:bookmarkStart w:id="0" w:name="art911p"/>
      <w:bookmarkEnd w:id="0"/>
      <w:r w:rsidRPr="00B97443">
        <w:rPr>
          <w:rFonts w:cs="Arial"/>
          <w:color w:val="000000"/>
          <w:sz w:val="14"/>
          <w:szCs w:val="14"/>
        </w:rPr>
        <w:t>Parágrafo único. Aplicam-se, no que couber, os </w:t>
      </w:r>
      <w:hyperlink r:id="rId2" w:anchor="art528%C2%A72" w:history="1">
        <w:r w:rsidRPr="00B97443">
          <w:rPr>
            <w:rStyle w:val="Hyperlink"/>
            <w:rFonts w:cs="Arial"/>
            <w:sz w:val="14"/>
            <w:szCs w:val="14"/>
          </w:rPr>
          <w:t>§§ 2º a 7º do art. 528 </w:t>
        </w:r>
      </w:hyperlink>
      <w:r w:rsidRPr="00B97443">
        <w:rPr>
          <w:rFonts w:cs="Arial"/>
          <w:color w:val="000000"/>
          <w:sz w:val="14"/>
          <w:szCs w:val="14"/>
        </w:rPr>
        <w:t>.</w:t>
      </w:r>
      <w:bookmarkStart w:id="1" w:name="art912"/>
      <w:bookmarkStart w:id="2" w:name="c912"/>
      <w:bookmarkStart w:id="3" w:name="art913"/>
      <w:bookmarkStart w:id="4" w:name="c913"/>
      <w:bookmarkEnd w:id="1"/>
      <w:bookmarkEnd w:id="2"/>
      <w:bookmarkEnd w:id="3"/>
      <w:bookmarkEnd w:id="4"/>
      <w:r w:rsidRPr="00B97443">
        <w:rPr>
          <w:rFonts w:cs="Arial"/>
          <w:color w:val="000000"/>
          <w:sz w:val="14"/>
          <w:szCs w:val="14"/>
        </w:rPr>
        <w:t>”.</w:t>
      </w:r>
    </w:p>
  </w:footnote>
  <w:footnote w:id="3">
    <w:p w14:paraId="59983D64" w14:textId="2EDCA24B" w:rsidR="00F837E5" w:rsidRPr="00B10309" w:rsidRDefault="00F837E5" w:rsidP="00B10309">
      <w:pPr>
        <w:pStyle w:val="Textodenotaderodap"/>
        <w:jc w:val="both"/>
        <w:rPr>
          <w:sz w:val="14"/>
          <w:szCs w:val="14"/>
        </w:rPr>
      </w:pPr>
      <w:r w:rsidRPr="00B10309">
        <w:rPr>
          <w:rStyle w:val="Refdenotaderodap"/>
          <w:sz w:val="14"/>
          <w:szCs w:val="14"/>
        </w:rPr>
        <w:footnoteRef/>
      </w:r>
      <w:r w:rsidRPr="00B10309">
        <w:rPr>
          <w:sz w:val="14"/>
          <w:szCs w:val="14"/>
        </w:rPr>
        <w:t xml:space="preserve"> </w:t>
      </w:r>
      <w:r w:rsidRPr="00F837E5">
        <w:rPr>
          <w:rFonts w:cs="Arial"/>
          <w:sz w:val="14"/>
          <w:szCs w:val="14"/>
        </w:rPr>
        <w:t xml:space="preserve">Código de Normas do Foro Judicial do TJPR (Provimento </w:t>
      </w:r>
      <w:r w:rsidR="00B10309">
        <w:rPr>
          <w:rFonts w:cs="Arial"/>
          <w:sz w:val="14"/>
          <w:szCs w:val="14"/>
        </w:rPr>
        <w:t xml:space="preserve">nº </w:t>
      </w:r>
      <w:r w:rsidRPr="00F837E5">
        <w:rPr>
          <w:rFonts w:cs="Arial"/>
          <w:sz w:val="14"/>
          <w:szCs w:val="14"/>
        </w:rPr>
        <w:t>316/2022): “Art. 235. A intimação para pagamento ou depósito de certa quantia, preparo de conta ou mera ciência de cálculo ou conta deverá sempre expressar o valor.”.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C6FF0"/>
    <w:multiLevelType w:val="hybridMultilevel"/>
    <w:tmpl w:val="30D4C160"/>
    <w:lvl w:ilvl="0" w:tplc="A8F413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8"/>
    <w:rsid w:val="00045F6F"/>
    <w:rsid w:val="00227B40"/>
    <w:rsid w:val="0023796A"/>
    <w:rsid w:val="00323C4A"/>
    <w:rsid w:val="003429BB"/>
    <w:rsid w:val="003D4DEE"/>
    <w:rsid w:val="00413EF4"/>
    <w:rsid w:val="005B20A1"/>
    <w:rsid w:val="008771AB"/>
    <w:rsid w:val="00B10309"/>
    <w:rsid w:val="00B944C8"/>
    <w:rsid w:val="00B96159"/>
    <w:rsid w:val="00C46CE6"/>
    <w:rsid w:val="00CB1028"/>
    <w:rsid w:val="00D12CF8"/>
    <w:rsid w:val="00D736C7"/>
    <w:rsid w:val="00E90A7F"/>
    <w:rsid w:val="00ED59B9"/>
    <w:rsid w:val="00F837E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0C9"/>
  <w15:chartTrackingRefBased/>
  <w15:docId w15:val="{2F34CFA4-55D5-4698-B1C0-AD382BF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F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12CF8"/>
  </w:style>
  <w:style w:type="character" w:customStyle="1" w:styleId="eop">
    <w:name w:val="eop"/>
    <w:basedOn w:val="Fontepargpadro"/>
    <w:rsid w:val="00D12CF8"/>
  </w:style>
  <w:style w:type="character" w:styleId="Hyperlink">
    <w:name w:val="Hyperlink"/>
    <w:basedOn w:val="Fontepargpadro"/>
    <w:uiPriority w:val="99"/>
    <w:semiHidden/>
    <w:unhideWhenUsed/>
    <w:rsid w:val="003D4D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DEE"/>
    <w:rPr>
      <w:b/>
      <w:bCs/>
    </w:rPr>
  </w:style>
  <w:style w:type="character" w:styleId="nfase">
    <w:name w:val="Emphasis"/>
    <w:basedOn w:val="Fontepargpadro"/>
    <w:uiPriority w:val="20"/>
    <w:qFormat/>
    <w:rsid w:val="003D4DEE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D736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36C7"/>
    <w:pPr>
      <w:ind w:left="720"/>
      <w:contextualSpacing/>
    </w:pPr>
  </w:style>
  <w:style w:type="paragraph" w:styleId="SemEspaamento">
    <w:name w:val="No Spacing"/>
    <w:uiPriority w:val="1"/>
    <w:qFormat/>
    <w:rsid w:val="00045F6F"/>
    <w:pPr>
      <w:spacing w:after="0" w:line="240" w:lineRule="auto"/>
      <w:jc w:val="both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5F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5F6F"/>
    <w:rPr>
      <w:rFonts w:ascii="Arial" w:hAnsi="Arial"/>
      <w:sz w:val="20"/>
      <w:szCs w:val="20"/>
    </w:rPr>
  </w:style>
  <w:style w:type="paragraph" w:styleId="Reviso">
    <w:name w:val="Revision"/>
    <w:hidden/>
    <w:uiPriority w:val="99"/>
    <w:semiHidden/>
    <w:rsid w:val="00B1030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jpr.jus.br/endereco-de-orgaos-do-judiciari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_ato2015-2018/2015/lei/l13105.htm" TargetMode="External"/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29EF-5E10-42F4-8A94-9D3B92308A4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cee5456-31ae-4776-ab0a-cb92274a15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304E2C-31AA-44D8-9D28-8C103BC55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D1C25-53B3-4492-A042-960E2506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D0415-3F75-4EE4-ABB9-D19550DD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7</cp:revision>
  <dcterms:created xsi:type="dcterms:W3CDTF">2022-02-11T19:21:00Z</dcterms:created>
  <dcterms:modified xsi:type="dcterms:W3CDTF">2023-06-19T20:31:00Z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