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C851" w14:textId="77777777" w:rsidR="00B96159" w:rsidRPr="0091478D" w:rsidRDefault="00B96159" w:rsidP="00B96159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D300F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D300F1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D300F1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1700ACE9" w14:textId="77777777" w:rsidR="00B96159" w:rsidRPr="0091478D" w:rsidRDefault="00B96159" w:rsidP="00B96159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D300F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D300F1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0FF62630" w14:textId="77777777" w:rsidR="00B96159" w:rsidRPr="0091478D" w:rsidRDefault="00B96159" w:rsidP="00B96159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D300F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D300F1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B96159" w:rsidRPr="00D300F1" w14:paraId="78EF66FF" w14:textId="77777777" w:rsidTr="00B961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3B41C" w14:textId="77777777" w:rsidR="00B96159" w:rsidRPr="0091478D" w:rsidRDefault="00B96159" w:rsidP="00B9615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C18A9D" w14:textId="7844EFC6" w:rsidR="00B96159" w:rsidRPr="0091478D" w:rsidRDefault="00B96159" w:rsidP="00B9615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307616" w:rsidRPr="00D300F1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 xml:space="preserve"> #if( $!</w:t>
            </w:r>
            <w:proofErr w:type="spellStart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D300F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D300F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D300F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D300F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D300F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B96159" w:rsidRPr="00D300F1" w14:paraId="684A96B6" w14:textId="77777777" w:rsidTr="00B961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F4D29" w14:textId="77777777" w:rsidR="00B96159" w:rsidRPr="0091478D" w:rsidRDefault="00B96159" w:rsidP="00B9615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44FE680" w14:textId="77777777" w:rsidR="00B96159" w:rsidRPr="0091478D" w:rsidRDefault="00B96159" w:rsidP="00B9615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()</w:t>
            </w:r>
          </w:p>
        </w:tc>
      </w:tr>
      <w:tr w:rsidR="00B96159" w:rsidRPr="00D300F1" w14:paraId="3348B450" w14:textId="77777777" w:rsidTr="00B9615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4B8A2" w14:textId="77777777" w:rsidR="00B96159" w:rsidRPr="0091478D" w:rsidRDefault="00B96159" w:rsidP="00B9615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D300F1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D300F1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ABE3A3" w14:textId="77777777" w:rsidR="00B96159" w:rsidRPr="0091478D" w:rsidRDefault="00B96159" w:rsidP="00B9615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#if( $!</w:t>
            </w:r>
            <w:proofErr w:type="spellStart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D300F1">
              <w:rPr>
                <w:rFonts w:eastAsia="Times New Roman" w:cs="Arial"/>
                <w:sz w:val="17"/>
                <w:szCs w:val="17"/>
                <w:lang w:eastAsia="pt-BR"/>
              </w:rPr>
              <w:t>() )#end</w:t>
            </w:r>
          </w:p>
        </w:tc>
      </w:tr>
    </w:tbl>
    <w:p w14:paraId="073A4193" w14:textId="42D8C5C3" w:rsidR="00B96159" w:rsidRPr="0091478D" w:rsidRDefault="00B96159" w:rsidP="00B96159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91478D">
        <w:rPr>
          <w:rFonts w:eastAsia="Times New Roman" w:cs="Arial"/>
          <w:b/>
          <w:bCs/>
          <w:u w:val="single"/>
          <w:lang w:eastAsia="pt-BR"/>
        </w:rPr>
        <w:t>$</w:t>
      </w:r>
      <w:proofErr w:type="spellStart"/>
      <w:r w:rsidRPr="0091478D">
        <w:rPr>
          <w:rFonts w:eastAsia="Times New Roman" w:cs="Arial"/>
          <w:b/>
          <w:bCs/>
          <w:u w:val="single"/>
          <w:lang w:eastAsia="pt-BR"/>
        </w:rPr>
        <w:t>cumprimentoCartorio.getTipoCumprimento</w:t>
      </w:r>
      <w:r w:rsidR="00307616" w:rsidRPr="0091478D">
        <w:rPr>
          <w:rFonts w:eastAsia="Times New Roman" w:cs="Arial"/>
          <w:b/>
          <w:bCs/>
          <w:u w:val="single"/>
          <w:lang w:eastAsia="pt-BR"/>
        </w:rPr>
        <w:t>Cartorio</w:t>
      </w:r>
      <w:proofErr w:type="spellEnd"/>
      <w:r w:rsidRPr="0091478D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91478D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91478D">
        <w:rPr>
          <w:rFonts w:eastAsia="Times New Roman" w:cs="Arial"/>
          <w:b/>
          <w:bCs/>
          <w:u w:val="single"/>
          <w:lang w:eastAsia="pt-BR"/>
        </w:rPr>
        <w:t>() de $</w:t>
      </w:r>
      <w:proofErr w:type="spellStart"/>
      <w:r w:rsidRPr="0091478D">
        <w:rPr>
          <w:rFonts w:eastAsia="Times New Roman" w:cs="Arial"/>
          <w:b/>
          <w:bCs/>
          <w:u w:val="single"/>
          <w:lang w:eastAsia="pt-BR"/>
        </w:rPr>
        <w:t>cumprimentoCartorio.getNaturezaMandado</w:t>
      </w:r>
      <w:proofErr w:type="spellEnd"/>
      <w:r w:rsidRPr="0091478D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91478D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91478D">
        <w:rPr>
          <w:rFonts w:eastAsia="Times New Roman" w:cs="Arial"/>
          <w:b/>
          <w:bCs/>
          <w:u w:val="single"/>
          <w:lang w:eastAsia="pt-BR"/>
        </w:rPr>
        <w:t>()</w:t>
      </w:r>
      <w:r w:rsidRPr="00D300F1">
        <w:rPr>
          <w:rFonts w:eastAsia="Times New Roman" w:cs="Arial"/>
          <w:sz w:val="24"/>
          <w:szCs w:val="24"/>
          <w:lang w:eastAsia="pt-BR"/>
        </w:rPr>
        <w:br/>
      </w:r>
      <w:r w:rsidRPr="00D300F1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D300F1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D300F1">
        <w:rPr>
          <w:rFonts w:eastAsia="Times New Roman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D300F1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D300F1">
        <w:rPr>
          <w:rFonts w:eastAsia="Times New Roman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D300F1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D300F1">
        <w:rPr>
          <w:rFonts w:eastAsia="Times New Roman" w:cs="Arial"/>
          <w:b/>
          <w:bCs/>
          <w:sz w:val="18"/>
          <w:szCs w:val="18"/>
          <w:lang w:eastAsia="pt-BR"/>
        </w:rPr>
        <w:t>()#end</w:t>
      </w:r>
    </w:p>
    <w:p w14:paraId="087C824D" w14:textId="32DBD9AE" w:rsidR="00AC5A27" w:rsidRPr="0091478D" w:rsidRDefault="00D300F1" w:rsidP="00AC5A27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CE739F">
        <w:rPr>
          <w:rFonts w:eastAsia="Times New Roman" w:cs="Arial"/>
          <w:i/>
          <w:color w:val="3300FF"/>
          <w:sz w:val="14"/>
          <w:szCs w:val="14"/>
          <w:lang w:eastAsia="pt-BR"/>
        </w:rPr>
        <w:t>cumprimento preferencial por meio elet</w:t>
      </w:r>
      <w:r w:rsidRPr="0091478D">
        <w:rPr>
          <w:rFonts w:eastAsia="Times New Roman" w:cs="Arial"/>
          <w:i/>
          <w:color w:val="3300FF"/>
          <w:sz w:val="14"/>
          <w:szCs w:val="14"/>
          <w:lang w:eastAsia="pt-BR"/>
        </w:rPr>
        <w:t>rônico</w:t>
      </w:r>
      <w:r w:rsidR="00AC5A27" w:rsidRPr="0091478D">
        <w:rPr>
          <w:rStyle w:val="Refdenotaderodap"/>
          <w:rFonts w:eastAsia="Times New Roman" w:cs="Arial"/>
          <w:i/>
          <w:iCs/>
          <w:sz w:val="14"/>
          <w:szCs w:val="14"/>
          <w:lang w:eastAsia="pt-BR"/>
        </w:rPr>
        <w:footnoteReference w:id="1"/>
      </w:r>
    </w:p>
    <w:p w14:paraId="4BDD2783" w14:textId="77777777" w:rsidR="00B96159" w:rsidRPr="0091478D" w:rsidRDefault="00B96159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7E41BC28" w14:textId="77777777" w:rsidR="00B96159" w:rsidRPr="0091478D" w:rsidRDefault="00B96159" w:rsidP="00B9615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D300F1">
        <w:rPr>
          <w:rFonts w:eastAsia="Times New Roman" w:cs="Arial"/>
          <w:sz w:val="18"/>
          <w:szCs w:val="18"/>
          <w:lang w:eastAsia="pt-BR"/>
        </w:rPr>
        <w:t>O(A) Juiz(</w:t>
      </w:r>
      <w:proofErr w:type="spellStart"/>
      <w:r w:rsidRPr="00D300F1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D300F1">
        <w:rPr>
          <w:rFonts w:eastAsia="Times New Roman" w:cs="Arial"/>
          <w:sz w:val="18"/>
          <w:szCs w:val="18"/>
          <w:lang w:eastAsia="pt-BR"/>
        </w:rPr>
        <w:t xml:space="preserve">) de Direito </w:t>
      </w:r>
      <w:proofErr w:type="gramStart"/>
      <w:r w:rsidRPr="00D300F1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D300F1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D300F1">
        <w:rPr>
          <w:rFonts w:eastAsia="Times New Roman" w:cs="Arial"/>
          <w:sz w:val="18"/>
          <w:szCs w:val="18"/>
          <w:lang w:eastAsia="pt-BR"/>
        </w:rPr>
        <w:t>.getJuizResponsavel</w:t>
      </w:r>
      <w:proofErr w:type="spellEnd"/>
      <w:r w:rsidRPr="00D300F1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D300F1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D300F1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D300F1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D300F1">
        <w:rPr>
          <w:rFonts w:eastAsia="Times New Roman" w:cs="Arial"/>
          <w:sz w:val="18"/>
          <w:szCs w:val="18"/>
          <w:lang w:eastAsia="pt-BR"/>
        </w:rPr>
        <w:t xml:space="preserve">(), referente ao(à) </w:t>
      </w:r>
      <w:r w:rsidRPr="00D300F1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D300F1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D300F1">
        <w:rPr>
          <w:rFonts w:eastAsia="Times New Roman" w:cs="Arial"/>
          <w:sz w:val="18"/>
          <w:szCs w:val="18"/>
          <w:lang w:eastAsia="pt-BR"/>
        </w:rPr>
        <w:t>: $</w:t>
      </w:r>
      <w:proofErr w:type="spellStart"/>
      <w:r w:rsidRPr="00D300F1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3ADC3621" w14:textId="77777777" w:rsidR="00B96159" w:rsidRPr="0091478D" w:rsidRDefault="00B96159" w:rsidP="00B96159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2E1D8908" w14:textId="77777777" w:rsidR="00D300F1" w:rsidRDefault="00B96159" w:rsidP="00307616">
      <w:pPr>
        <w:spacing w:after="0"/>
        <w:jc w:val="both"/>
        <w:rPr>
          <w:rFonts w:eastAsia="Times New Roman" w:cs="Arial"/>
          <w:sz w:val="18"/>
          <w:szCs w:val="18"/>
          <w:lang w:eastAsia="pt-BR"/>
        </w:rPr>
      </w:pPr>
      <w:r w:rsidRPr="00D300F1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r w:rsidRPr="00D300F1">
        <w:rPr>
          <w:rFonts w:eastAsia="Times New Roman" w:cs="Arial"/>
          <w:sz w:val="18"/>
          <w:szCs w:val="18"/>
          <w:lang w:eastAsia="pt-BR"/>
        </w:rPr>
        <w:t xml:space="preserve">ao(à) </w:t>
      </w:r>
      <w:proofErr w:type="spellStart"/>
      <w:r w:rsidRPr="00D300F1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D300F1">
        <w:rPr>
          <w:rFonts w:eastAsia="Times New Roman" w:cs="Arial"/>
          <w:sz w:val="18"/>
          <w:szCs w:val="18"/>
          <w:lang w:eastAsia="pt-BR"/>
        </w:rPr>
        <w:t>(a). Oficial de Justiça que proceda à</w:t>
      </w:r>
      <w:r w:rsidR="00D300F1">
        <w:rPr>
          <w:rFonts w:eastAsia="Times New Roman" w:cs="Arial"/>
          <w:sz w:val="18"/>
          <w:szCs w:val="18"/>
          <w:lang w:eastAsia="pt-BR"/>
        </w:rPr>
        <w:t>:</w:t>
      </w:r>
    </w:p>
    <w:p w14:paraId="3D19D850" w14:textId="77777777" w:rsidR="00D300F1" w:rsidRDefault="00D300F1" w:rsidP="00307616">
      <w:pPr>
        <w:spacing w:after="0"/>
        <w:jc w:val="both"/>
        <w:rPr>
          <w:rFonts w:eastAsia="Times New Roman" w:cs="Arial"/>
          <w:sz w:val="18"/>
          <w:szCs w:val="18"/>
          <w:lang w:eastAsia="pt-BR"/>
        </w:rPr>
      </w:pPr>
    </w:p>
    <w:p w14:paraId="04879B4B" w14:textId="594BFD4D" w:rsidR="00AE432E" w:rsidRDefault="00D300F1" w:rsidP="00307616">
      <w:pPr>
        <w:spacing w:after="0"/>
        <w:jc w:val="both"/>
        <w:rPr>
          <w:rFonts w:eastAsia="Times New Roman" w:cs="Arial"/>
          <w:sz w:val="18"/>
          <w:szCs w:val="18"/>
          <w:lang w:eastAsia="pt-BR"/>
        </w:rPr>
      </w:pPr>
      <w:r w:rsidRPr="0091478D">
        <w:rPr>
          <w:rFonts w:eastAsia="Times New Roman" w:cs="Arial"/>
          <w:b/>
          <w:sz w:val="18"/>
          <w:szCs w:val="18"/>
          <w:lang w:eastAsia="pt-BR"/>
        </w:rPr>
        <w:t xml:space="preserve">1. </w:t>
      </w:r>
      <w:r w:rsidR="000C37E9" w:rsidRPr="00D300F1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INTIMAÇÃO</w:t>
      </w:r>
      <w:r w:rsidR="00B96159" w:rsidRPr="00D300F1">
        <w:rPr>
          <w:rFonts w:eastAsia="Times New Roman" w:cs="Arial"/>
          <w:sz w:val="18"/>
          <w:szCs w:val="18"/>
          <w:lang w:eastAsia="pt-BR"/>
        </w:rPr>
        <w:t xml:space="preserve"> da parte acima indicada</w:t>
      </w:r>
      <w:r w:rsidR="00B96159" w:rsidRPr="00D300F1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0C37E9" w:rsidRPr="00D300F1">
        <w:rPr>
          <w:rFonts w:eastAsia="Times New Roman" w:cs="Arial"/>
          <w:sz w:val="18"/>
          <w:szCs w:val="18"/>
          <w:lang w:eastAsia="pt-BR"/>
        </w:rPr>
        <w:t>dos termos do</w:t>
      </w:r>
      <w:r w:rsidR="00FB2ED6" w:rsidRPr="00D300F1">
        <w:rPr>
          <w:rFonts w:eastAsia="Times New Roman" w:cs="Arial"/>
          <w:sz w:val="18"/>
          <w:szCs w:val="18"/>
          <w:lang w:eastAsia="pt-BR"/>
        </w:rPr>
        <w:t xml:space="preserve"> presente</w:t>
      </w:r>
      <w:r w:rsidR="000C37E9" w:rsidRPr="00D300F1">
        <w:rPr>
          <w:rFonts w:eastAsia="Times New Roman" w:cs="Arial"/>
          <w:sz w:val="18"/>
          <w:szCs w:val="18"/>
          <w:lang w:eastAsia="pt-BR"/>
        </w:rPr>
        <w:t xml:space="preserve"> </w:t>
      </w:r>
      <w:r w:rsidR="000C37E9" w:rsidRPr="00D300F1">
        <w:rPr>
          <w:rFonts w:eastAsia="Times New Roman" w:cs="Arial"/>
          <w:b/>
          <w:sz w:val="18"/>
          <w:szCs w:val="18"/>
          <w:lang w:eastAsia="pt-BR"/>
        </w:rPr>
        <w:t>Cumprimento de Sentença (Obrigação de Pagar Quantia Certa)</w:t>
      </w:r>
      <w:r w:rsidR="000C37E9" w:rsidRPr="0091478D">
        <w:rPr>
          <w:rStyle w:val="Refdenotaderodap"/>
          <w:rFonts w:cs="Arial"/>
          <w:sz w:val="18"/>
          <w:szCs w:val="18"/>
        </w:rPr>
        <w:footnoteReference w:id="2"/>
      </w:r>
      <w:r w:rsidR="00C53BC6" w:rsidRPr="00D300F1">
        <w:rPr>
          <w:rFonts w:eastAsia="Times New Roman" w:cs="Arial"/>
          <w:b/>
          <w:sz w:val="18"/>
          <w:szCs w:val="18"/>
          <w:lang w:eastAsia="pt-BR"/>
        </w:rPr>
        <w:t xml:space="preserve"> decorrente de Obrigação Alimentar</w:t>
      </w:r>
      <w:r w:rsidR="000C37E9" w:rsidRPr="00D300F1">
        <w:rPr>
          <w:rFonts w:eastAsia="Times New Roman" w:cs="Arial"/>
          <w:sz w:val="18"/>
          <w:szCs w:val="18"/>
          <w:lang w:eastAsia="pt-BR"/>
        </w:rPr>
        <w:t xml:space="preserve">, para, no </w:t>
      </w:r>
      <w:r w:rsidR="000C37E9" w:rsidRPr="00D300F1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0C37E9" w:rsidRPr="00D300F1">
        <w:rPr>
          <w:rFonts w:eastAsia="Times New Roman" w:cs="Arial"/>
          <w:sz w:val="18"/>
          <w:szCs w:val="18"/>
          <w:lang w:eastAsia="pt-BR"/>
        </w:rPr>
        <w:t xml:space="preserve">, </w:t>
      </w:r>
      <w:r w:rsidR="000C37E9" w:rsidRPr="00D300F1">
        <w:rPr>
          <w:rFonts w:eastAsia="Times New Roman" w:cs="Arial"/>
          <w:b/>
          <w:bCs/>
          <w:sz w:val="18"/>
          <w:szCs w:val="18"/>
          <w:lang w:eastAsia="pt-BR"/>
        </w:rPr>
        <w:t>paga</w:t>
      </w:r>
      <w:r w:rsidR="00C53BC6" w:rsidRPr="00D300F1">
        <w:rPr>
          <w:rFonts w:eastAsia="Times New Roman" w:cs="Arial"/>
          <w:b/>
          <w:bCs/>
          <w:sz w:val="18"/>
          <w:szCs w:val="18"/>
          <w:lang w:eastAsia="pt-BR"/>
        </w:rPr>
        <w:t xml:space="preserve">r </w:t>
      </w:r>
      <w:r w:rsidR="000C37E9" w:rsidRPr="00D300F1">
        <w:rPr>
          <w:rFonts w:eastAsia="Times New Roman" w:cs="Arial"/>
          <w:b/>
          <w:bCs/>
          <w:sz w:val="18"/>
          <w:szCs w:val="18"/>
          <w:lang w:eastAsia="pt-BR"/>
        </w:rPr>
        <w:t>o débito</w:t>
      </w:r>
      <w:r w:rsidR="000C37E9" w:rsidRPr="00D300F1">
        <w:rPr>
          <w:rFonts w:eastAsia="Times New Roman" w:cs="Arial"/>
          <w:sz w:val="18"/>
          <w:szCs w:val="18"/>
          <w:lang w:eastAsia="pt-BR"/>
        </w:rPr>
        <w:t xml:space="preserve"> a que foi condenado(a)</w:t>
      </w:r>
      <w:r w:rsidR="006C0C92">
        <w:rPr>
          <w:rFonts w:eastAsia="Times New Roman" w:cs="Arial"/>
          <w:sz w:val="18"/>
          <w:szCs w:val="18"/>
          <w:lang w:eastAsia="pt-BR"/>
        </w:rPr>
        <w:t>,</w:t>
      </w:r>
      <w:r w:rsidR="000C37E9" w:rsidRPr="00D300F1">
        <w:rPr>
          <w:rFonts w:eastAsia="Times New Roman" w:cs="Arial"/>
          <w:sz w:val="18"/>
          <w:szCs w:val="18"/>
          <w:lang w:eastAsia="pt-BR"/>
        </w:rPr>
        <w:t xml:space="preserve"> acrescido de custas</w:t>
      </w:r>
      <w:r w:rsidR="00150008">
        <w:rPr>
          <w:rFonts w:eastAsia="Times New Roman" w:cs="Arial"/>
          <w:sz w:val="18"/>
          <w:szCs w:val="18"/>
          <w:lang w:eastAsia="pt-BR"/>
        </w:rPr>
        <w:t>, se houver</w:t>
      </w:r>
      <w:r w:rsidR="000C37E9" w:rsidRPr="00D300F1">
        <w:rPr>
          <w:rFonts w:eastAsia="Times New Roman" w:cs="Arial"/>
          <w:sz w:val="18"/>
          <w:szCs w:val="18"/>
          <w:lang w:eastAsia="pt-BR"/>
        </w:rPr>
        <w:t xml:space="preserve">, no valor total de </w:t>
      </w:r>
      <w:r w:rsidR="000C37E9" w:rsidRPr="0091478D">
        <w:rPr>
          <w:rFonts w:eastAsia="Times New Roman" w:cs="Arial"/>
          <w:b/>
          <w:sz w:val="18"/>
          <w:szCs w:val="18"/>
          <w:lang w:eastAsia="pt-BR"/>
        </w:rPr>
        <w:t>R$</w:t>
      </w:r>
      <w:r w:rsidR="000C37E9" w:rsidRPr="0091478D">
        <w:rPr>
          <w:rFonts w:eastAsia="Times New Roman" w:cs="Arial"/>
          <w:b/>
          <w:color w:val="3300FF"/>
          <w:sz w:val="18"/>
          <w:szCs w:val="18"/>
          <w:lang w:eastAsia="pt-BR"/>
        </w:rPr>
        <w:t xml:space="preserve"> XXX,XX (valor por extenso)</w:t>
      </w:r>
      <w:r>
        <w:rPr>
          <w:rStyle w:val="Refdenotaderodap"/>
          <w:rFonts w:eastAsia="Times New Roman" w:cs="Arial"/>
          <w:color w:val="3300FF"/>
          <w:sz w:val="18"/>
          <w:szCs w:val="18"/>
          <w:lang w:eastAsia="pt-BR"/>
        </w:rPr>
        <w:footnoteReference w:id="3"/>
      </w:r>
      <w:r>
        <w:rPr>
          <w:rFonts w:eastAsia="Times New Roman" w:cs="Arial"/>
          <w:sz w:val="18"/>
          <w:szCs w:val="18"/>
          <w:lang w:eastAsia="pt-BR"/>
        </w:rPr>
        <w:t xml:space="preserve">, </w:t>
      </w:r>
      <w:r w:rsidR="000C37E9" w:rsidRPr="00D300F1">
        <w:rPr>
          <w:rFonts w:eastAsia="Times New Roman" w:cs="Arial"/>
          <w:sz w:val="18"/>
          <w:szCs w:val="18"/>
          <w:lang w:eastAsia="pt-BR"/>
        </w:rPr>
        <w:t xml:space="preserve">conforme cálculos </w:t>
      </w:r>
      <w:r w:rsidR="000C37E9" w:rsidRPr="00D300F1">
        <w:rPr>
          <w:rFonts w:eastAsia="Times New Roman" w:cs="Arial"/>
          <w:color w:val="3300FF"/>
          <w:sz w:val="18"/>
          <w:szCs w:val="18"/>
          <w:lang w:eastAsia="pt-BR"/>
        </w:rPr>
        <w:t>em anexo</w:t>
      </w:r>
      <w:r w:rsidR="000C37E9" w:rsidRPr="00D300F1">
        <w:rPr>
          <w:rFonts w:eastAsia="Times New Roman" w:cs="Arial"/>
          <w:sz w:val="18"/>
          <w:szCs w:val="18"/>
          <w:lang w:eastAsia="pt-BR"/>
        </w:rPr>
        <w:t xml:space="preserve">, acrescido de correção monetária e juros moratórios até a data do efetivo pagamento, sob pena de incidência de multa de 10% (dez por cento) e de honorários advocatícios de 10% (dez por cento), ambos incidentes cumulativamente sobre o débito atualizado ou sobre o valor restante, em caso de pagamento parcial, nos termos do art. 523, § 1º e 2º do Código de Processo Civil. </w:t>
      </w:r>
    </w:p>
    <w:p w14:paraId="6D5668D8" w14:textId="54E6E8FF" w:rsidR="00D300F1" w:rsidRDefault="00D300F1" w:rsidP="00307616">
      <w:pPr>
        <w:spacing w:after="0"/>
        <w:jc w:val="both"/>
        <w:rPr>
          <w:rFonts w:eastAsia="Times New Roman" w:cs="Arial"/>
          <w:sz w:val="18"/>
          <w:szCs w:val="18"/>
          <w:lang w:eastAsia="pt-BR"/>
        </w:rPr>
      </w:pPr>
    </w:p>
    <w:p w14:paraId="398563CA" w14:textId="53213E6D" w:rsidR="00D300F1" w:rsidRPr="00D300F1" w:rsidRDefault="001176EC" w:rsidP="00307616">
      <w:pPr>
        <w:spacing w:after="0"/>
        <w:jc w:val="both"/>
        <w:rPr>
          <w:rFonts w:eastAsia="Times New Roman" w:cs="Arial"/>
          <w:sz w:val="18"/>
          <w:szCs w:val="18"/>
          <w:lang w:eastAsia="pt-BR"/>
        </w:rPr>
      </w:pPr>
      <w:r w:rsidRPr="0091478D">
        <w:rPr>
          <w:rFonts w:eastAsia="Times New Roman" w:cs="Arial"/>
          <w:b/>
          <w:sz w:val="18"/>
          <w:szCs w:val="18"/>
          <w:lang w:eastAsia="pt-BR"/>
        </w:rPr>
        <w:t xml:space="preserve">2. </w:t>
      </w:r>
      <w:r w:rsidRPr="0091478D">
        <w:rPr>
          <w:rFonts w:eastAsia="Times New Roman" w:cs="Arial"/>
          <w:b/>
          <w:sz w:val="18"/>
          <w:szCs w:val="18"/>
          <w:u w:val="single"/>
          <w:lang w:eastAsia="pt-BR"/>
        </w:rPr>
        <w:t>ADVERTÊNCIA</w:t>
      </w:r>
      <w:r>
        <w:rPr>
          <w:rFonts w:eastAsia="Times New Roman" w:cs="Arial"/>
          <w:sz w:val="18"/>
          <w:szCs w:val="18"/>
          <w:lang w:eastAsia="pt-BR"/>
        </w:rPr>
        <w:t xml:space="preserve"> de que:</w:t>
      </w:r>
    </w:p>
    <w:p w14:paraId="5CBDFF99" w14:textId="77777777" w:rsidR="001176EC" w:rsidRDefault="001176EC" w:rsidP="00307616">
      <w:pPr>
        <w:spacing w:after="0"/>
        <w:jc w:val="both"/>
        <w:rPr>
          <w:rFonts w:eastAsia="Times New Roman" w:cs="Arial"/>
          <w:sz w:val="18"/>
          <w:szCs w:val="18"/>
          <w:lang w:eastAsia="pt-BR"/>
        </w:rPr>
      </w:pPr>
      <w:r w:rsidRPr="0091478D">
        <w:rPr>
          <w:rFonts w:eastAsia="Times New Roman" w:cs="Arial"/>
          <w:b/>
          <w:sz w:val="18"/>
          <w:szCs w:val="18"/>
          <w:lang w:eastAsia="pt-BR"/>
        </w:rPr>
        <w:t>2.1.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="000C37E9" w:rsidRPr="00D300F1">
        <w:rPr>
          <w:rFonts w:eastAsia="Times New Roman" w:cs="Arial"/>
          <w:sz w:val="18"/>
          <w:szCs w:val="18"/>
          <w:lang w:eastAsia="pt-BR"/>
        </w:rPr>
        <w:t xml:space="preserve">Efetuando o </w:t>
      </w:r>
      <w:r w:rsidR="000C37E9" w:rsidRPr="0091478D">
        <w:rPr>
          <w:rFonts w:eastAsia="Times New Roman" w:cs="Arial"/>
          <w:sz w:val="18"/>
          <w:szCs w:val="18"/>
          <w:u w:val="single"/>
          <w:lang w:eastAsia="pt-BR"/>
        </w:rPr>
        <w:t>pagamento integral da dívida no prazo estipulado</w:t>
      </w:r>
      <w:r w:rsidR="000C37E9" w:rsidRPr="00D300F1">
        <w:rPr>
          <w:rFonts w:eastAsia="Times New Roman" w:cs="Arial"/>
          <w:sz w:val="18"/>
          <w:szCs w:val="18"/>
          <w:lang w:eastAsia="pt-BR"/>
        </w:rPr>
        <w:t xml:space="preserve">, </w:t>
      </w:r>
      <w:r w:rsidR="00B14D3A" w:rsidRPr="00D300F1">
        <w:rPr>
          <w:rFonts w:eastAsia="Times New Roman" w:cs="Arial"/>
          <w:sz w:val="18"/>
          <w:szCs w:val="18"/>
          <w:lang w:eastAsia="pt-BR"/>
        </w:rPr>
        <w:t xml:space="preserve">a parte </w:t>
      </w:r>
      <w:r w:rsidR="000C37E9" w:rsidRPr="00D300F1">
        <w:rPr>
          <w:rFonts w:eastAsia="Times New Roman" w:cs="Arial"/>
          <w:sz w:val="18"/>
          <w:szCs w:val="18"/>
          <w:lang w:eastAsia="pt-BR"/>
        </w:rPr>
        <w:t>fica isent</w:t>
      </w:r>
      <w:r w:rsidR="00B14D3A" w:rsidRPr="00D300F1">
        <w:rPr>
          <w:rFonts w:eastAsia="Times New Roman" w:cs="Arial"/>
          <w:sz w:val="18"/>
          <w:szCs w:val="18"/>
          <w:lang w:eastAsia="pt-BR"/>
        </w:rPr>
        <w:t>a</w:t>
      </w:r>
      <w:r w:rsidR="000C37E9" w:rsidRPr="00D300F1">
        <w:rPr>
          <w:rFonts w:eastAsia="Times New Roman" w:cs="Arial"/>
          <w:sz w:val="18"/>
          <w:szCs w:val="18"/>
          <w:lang w:eastAsia="pt-BR"/>
        </w:rPr>
        <w:t xml:space="preserve"> do pagamento da multa, honorários advocatícios e custas processuais decorrentes do cumprimento de sentença, e havendo pagamento parcial, a multa incidirá sobre o restante da obrigação</w:t>
      </w:r>
      <w:r>
        <w:rPr>
          <w:rFonts w:eastAsia="Times New Roman" w:cs="Arial"/>
          <w:sz w:val="18"/>
          <w:szCs w:val="18"/>
          <w:lang w:eastAsia="pt-BR"/>
        </w:rPr>
        <w:t>;</w:t>
      </w:r>
    </w:p>
    <w:p w14:paraId="24148771" w14:textId="0A8F13B3" w:rsidR="001176EC" w:rsidRDefault="001176EC" w:rsidP="00307616">
      <w:pPr>
        <w:spacing w:after="0"/>
        <w:jc w:val="both"/>
        <w:rPr>
          <w:rFonts w:eastAsia="Times New Roman" w:cs="Arial"/>
          <w:sz w:val="18"/>
          <w:szCs w:val="18"/>
          <w:lang w:eastAsia="pt-BR"/>
        </w:rPr>
      </w:pPr>
      <w:r w:rsidRPr="0091478D">
        <w:rPr>
          <w:rFonts w:eastAsia="Times New Roman" w:cs="Arial"/>
          <w:b/>
          <w:sz w:val="18"/>
          <w:szCs w:val="18"/>
          <w:lang w:eastAsia="pt-BR"/>
        </w:rPr>
        <w:t>2.2.</w:t>
      </w:r>
      <w:r>
        <w:rPr>
          <w:rFonts w:eastAsia="Times New Roman" w:cs="Arial"/>
          <w:sz w:val="18"/>
          <w:szCs w:val="18"/>
          <w:lang w:eastAsia="pt-BR"/>
        </w:rPr>
        <w:t xml:space="preserve"> P</w:t>
      </w:r>
      <w:r w:rsidR="000C37E9" w:rsidRPr="00D300F1">
        <w:rPr>
          <w:rFonts w:eastAsia="Times New Roman" w:cs="Arial"/>
          <w:sz w:val="18"/>
          <w:szCs w:val="18"/>
          <w:lang w:eastAsia="pt-BR"/>
        </w:rPr>
        <w:t xml:space="preserve">oderá </w:t>
      </w:r>
      <w:r>
        <w:rPr>
          <w:rFonts w:eastAsia="Times New Roman" w:cs="Arial"/>
          <w:sz w:val="18"/>
          <w:szCs w:val="18"/>
          <w:lang w:eastAsia="pt-BR"/>
        </w:rPr>
        <w:t>apresentar</w:t>
      </w:r>
      <w:r w:rsidR="000C37E9" w:rsidRPr="00D300F1">
        <w:rPr>
          <w:rFonts w:eastAsia="Times New Roman" w:cs="Arial"/>
          <w:sz w:val="18"/>
          <w:szCs w:val="18"/>
          <w:lang w:eastAsia="pt-BR"/>
        </w:rPr>
        <w:t xml:space="preserve"> </w:t>
      </w:r>
      <w:r w:rsidR="000C37E9" w:rsidRPr="00D300F1">
        <w:rPr>
          <w:rFonts w:eastAsia="Times New Roman" w:cs="Arial"/>
          <w:b/>
          <w:bCs/>
          <w:sz w:val="18"/>
          <w:szCs w:val="18"/>
          <w:lang w:eastAsia="pt-BR"/>
        </w:rPr>
        <w:t>impugnação</w:t>
      </w:r>
      <w:r w:rsidR="000C37E9" w:rsidRPr="00D300F1">
        <w:rPr>
          <w:rFonts w:eastAsia="Times New Roman" w:cs="Arial"/>
          <w:sz w:val="18"/>
          <w:szCs w:val="18"/>
          <w:lang w:eastAsia="pt-BR"/>
        </w:rPr>
        <w:t xml:space="preserve"> no </w:t>
      </w:r>
      <w:r w:rsidR="000C37E9" w:rsidRPr="00D300F1">
        <w:rPr>
          <w:rFonts w:eastAsia="Times New Roman" w:cs="Arial"/>
          <w:b/>
          <w:bCs/>
          <w:sz w:val="18"/>
          <w:szCs w:val="18"/>
          <w:lang w:eastAsia="pt-BR"/>
        </w:rPr>
        <w:t>prazo de 15 (quinze) dias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>
        <w:rPr>
          <w:rFonts w:eastAsia="Times New Roman" w:cs="Arial"/>
          <w:sz w:val="18"/>
          <w:szCs w:val="18"/>
          <w:lang w:eastAsia="pt-BR"/>
        </w:rPr>
        <w:t xml:space="preserve">, </w:t>
      </w:r>
      <w:r w:rsidR="000C37E9" w:rsidRPr="00D300F1">
        <w:rPr>
          <w:rFonts w:eastAsia="Times New Roman" w:cs="Arial"/>
          <w:sz w:val="18"/>
          <w:szCs w:val="18"/>
          <w:lang w:eastAsia="pt-BR"/>
        </w:rPr>
        <w:t>contados a partir do término do prazo para pagamento voluntário, por meio de advogado(a), independentemente de penhora ou nova intimação</w:t>
      </w:r>
      <w:r>
        <w:rPr>
          <w:rFonts w:eastAsia="Times New Roman" w:cs="Arial"/>
          <w:sz w:val="18"/>
          <w:szCs w:val="18"/>
          <w:lang w:eastAsia="pt-BR"/>
        </w:rPr>
        <w:t xml:space="preserve"> (</w:t>
      </w:r>
      <w:r w:rsidR="000C37E9" w:rsidRPr="00D300F1">
        <w:rPr>
          <w:rFonts w:eastAsia="Times New Roman" w:cs="Arial"/>
          <w:sz w:val="18"/>
          <w:szCs w:val="18"/>
          <w:lang w:eastAsia="pt-BR"/>
        </w:rPr>
        <w:t>art. 525</w:t>
      </w:r>
      <w:r>
        <w:rPr>
          <w:rFonts w:eastAsia="Times New Roman" w:cs="Arial"/>
          <w:sz w:val="18"/>
          <w:szCs w:val="18"/>
          <w:lang w:eastAsia="pt-BR"/>
        </w:rPr>
        <w:t>, CPC);</w:t>
      </w:r>
      <w:r w:rsidR="000C37E9" w:rsidRPr="00D300F1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2898468D" w14:textId="71DEBB73" w:rsidR="00B96159" w:rsidRPr="00D300F1" w:rsidRDefault="001176EC" w:rsidP="00307616">
      <w:pPr>
        <w:spacing w:after="0"/>
        <w:jc w:val="both"/>
        <w:rPr>
          <w:rFonts w:eastAsia="Times New Roman" w:cs="Arial"/>
          <w:sz w:val="18"/>
          <w:szCs w:val="18"/>
          <w:lang w:eastAsia="pt-BR"/>
        </w:rPr>
      </w:pPr>
      <w:r w:rsidRPr="0091478D">
        <w:rPr>
          <w:rFonts w:eastAsia="Times New Roman" w:cs="Arial"/>
          <w:b/>
          <w:sz w:val="18"/>
          <w:szCs w:val="18"/>
          <w:lang w:eastAsia="pt-BR"/>
        </w:rPr>
        <w:t>2.3.</w:t>
      </w:r>
      <w:r>
        <w:rPr>
          <w:rFonts w:eastAsia="Times New Roman" w:cs="Arial"/>
          <w:sz w:val="18"/>
          <w:szCs w:val="18"/>
          <w:lang w:eastAsia="pt-BR"/>
        </w:rPr>
        <w:t xml:space="preserve"> A</w:t>
      </w:r>
      <w:r w:rsidR="000C37E9" w:rsidRPr="00D300F1">
        <w:rPr>
          <w:rFonts w:eastAsia="Times New Roman" w:cs="Arial"/>
          <w:sz w:val="18"/>
          <w:szCs w:val="18"/>
          <w:lang w:eastAsia="pt-BR"/>
        </w:rPr>
        <w:t xml:space="preserve"> suspensão do cumprimento de sentença condiciona-se à garantia do juízo (art. 525, § 6º, CPC). Não efetuado tempestivamente o pagamento voluntário</w:t>
      </w:r>
      <w:r w:rsidR="00307616" w:rsidRPr="00D300F1">
        <w:rPr>
          <w:rFonts w:eastAsia="Times New Roman" w:cs="Arial"/>
          <w:sz w:val="18"/>
          <w:szCs w:val="18"/>
          <w:lang w:eastAsia="pt-BR"/>
        </w:rPr>
        <w:t xml:space="preserve"> no prazo estipulado</w:t>
      </w:r>
      <w:r w:rsidR="000C37E9" w:rsidRPr="00D300F1">
        <w:rPr>
          <w:rFonts w:eastAsia="Times New Roman" w:cs="Arial"/>
          <w:sz w:val="18"/>
          <w:szCs w:val="18"/>
          <w:lang w:eastAsia="pt-BR"/>
        </w:rPr>
        <w:t>, será expedido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Pr="0091478D">
        <w:rPr>
          <w:rFonts w:eastAsia="Times New Roman" w:cs="Arial"/>
          <w:sz w:val="18"/>
          <w:szCs w:val="18"/>
          <w:u w:val="single"/>
          <w:lang w:eastAsia="pt-BR"/>
        </w:rPr>
        <w:t>m</w:t>
      </w:r>
      <w:r w:rsidR="000C37E9" w:rsidRPr="0091478D">
        <w:rPr>
          <w:rFonts w:eastAsia="Times New Roman" w:cs="Arial"/>
          <w:sz w:val="18"/>
          <w:szCs w:val="18"/>
          <w:u w:val="single"/>
          <w:lang w:eastAsia="pt-BR"/>
        </w:rPr>
        <w:t>andado de penhora e avaliação</w:t>
      </w:r>
      <w:r w:rsidR="000C37E9" w:rsidRPr="00D300F1">
        <w:rPr>
          <w:rFonts w:eastAsia="Times New Roman" w:cs="Arial"/>
          <w:sz w:val="18"/>
          <w:szCs w:val="18"/>
          <w:lang w:eastAsia="pt-BR"/>
        </w:rPr>
        <w:t>, seguindo-se os atos de exp</w:t>
      </w:r>
      <w:r w:rsidR="001804A1" w:rsidRPr="00D300F1">
        <w:rPr>
          <w:rFonts w:eastAsia="Times New Roman" w:cs="Arial"/>
          <w:sz w:val="18"/>
          <w:szCs w:val="18"/>
          <w:lang w:eastAsia="pt-BR"/>
        </w:rPr>
        <w:t>ropriação (art. 523, § 3º, CPC)</w:t>
      </w:r>
      <w:r>
        <w:rPr>
          <w:rFonts w:eastAsia="Times New Roman" w:cs="Arial"/>
          <w:sz w:val="18"/>
          <w:szCs w:val="18"/>
          <w:lang w:eastAsia="pt-BR"/>
        </w:rPr>
        <w:t>,</w:t>
      </w:r>
      <w:r w:rsidR="001804A1" w:rsidRPr="00D300F1">
        <w:rPr>
          <w:rFonts w:eastAsia="Times New Roman" w:cs="Arial"/>
          <w:sz w:val="18"/>
          <w:szCs w:val="18"/>
          <w:lang w:eastAsia="pt-BR"/>
        </w:rPr>
        <w:t xml:space="preserve"> e expedido ofício ao cartório de protestos para que proceda </w:t>
      </w:r>
      <w:r>
        <w:rPr>
          <w:rFonts w:eastAsia="Times New Roman" w:cs="Arial"/>
          <w:sz w:val="18"/>
          <w:szCs w:val="18"/>
          <w:lang w:eastAsia="pt-BR"/>
        </w:rPr>
        <w:t>a</w:t>
      </w:r>
      <w:r w:rsidR="001804A1" w:rsidRPr="00D300F1">
        <w:rPr>
          <w:rFonts w:eastAsia="Times New Roman" w:cs="Arial"/>
          <w:sz w:val="18"/>
          <w:szCs w:val="18"/>
          <w:lang w:eastAsia="pt-BR"/>
        </w:rPr>
        <w:t xml:space="preserve">o </w:t>
      </w:r>
      <w:r w:rsidR="001804A1" w:rsidRPr="00D300F1">
        <w:rPr>
          <w:rFonts w:eastAsia="Times New Roman" w:cs="Arial"/>
          <w:b/>
          <w:bCs/>
          <w:sz w:val="18"/>
          <w:szCs w:val="18"/>
          <w:lang w:eastAsia="pt-BR"/>
        </w:rPr>
        <w:t>protesto do pronunciamento judicial</w:t>
      </w:r>
      <w:r w:rsidR="001804A1" w:rsidRPr="00D300F1">
        <w:rPr>
          <w:rFonts w:eastAsia="Times New Roman" w:cs="Arial"/>
          <w:sz w:val="18"/>
          <w:szCs w:val="18"/>
          <w:lang w:eastAsia="pt-BR"/>
        </w:rPr>
        <w:t xml:space="preserve"> (art. 517, CPC).</w:t>
      </w:r>
    </w:p>
    <w:p w14:paraId="1F1E2E36" w14:textId="6509E2CD" w:rsidR="00307616" w:rsidRDefault="00307616" w:rsidP="00307616">
      <w:pPr>
        <w:spacing w:after="0"/>
        <w:jc w:val="both"/>
        <w:rPr>
          <w:rFonts w:eastAsia="Times New Roman" w:cs="Arial"/>
          <w:sz w:val="18"/>
          <w:szCs w:val="18"/>
          <w:lang w:eastAsia="pt-BR"/>
        </w:rPr>
      </w:pPr>
    </w:p>
    <w:p w14:paraId="3371257D" w14:textId="77777777" w:rsidR="00D300F1" w:rsidRPr="00305494" w:rsidRDefault="00D300F1">
      <w:pPr>
        <w:pStyle w:val="SemEspaamento"/>
        <w:rPr>
          <w:rFonts w:cs="Arial"/>
          <w:bCs/>
          <w:sz w:val="18"/>
          <w:szCs w:val="18"/>
        </w:rPr>
      </w:pPr>
      <w:r w:rsidRPr="006A52FA">
        <w:rPr>
          <w:rFonts w:cs="Arial"/>
          <w:b/>
          <w:sz w:val="18"/>
          <w:szCs w:val="18"/>
        </w:rPr>
        <w:t>3.</w:t>
      </w:r>
      <w:r w:rsidRPr="005A097C">
        <w:rPr>
          <w:rFonts w:cs="Arial"/>
          <w:b/>
          <w:bCs/>
          <w:sz w:val="18"/>
          <w:szCs w:val="18"/>
        </w:rPr>
        <w:t xml:space="preserve"> </w:t>
      </w:r>
      <w:r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>
        <w:rPr>
          <w:rStyle w:val="normaltextrun"/>
          <w:rFonts w:cs="Arial"/>
          <w:sz w:val="18"/>
          <w:szCs w:val="18"/>
        </w:rPr>
        <w:t xml:space="preserve"> </w:t>
      </w:r>
      <w:r w:rsidRPr="002A0A2D">
        <w:rPr>
          <w:rFonts w:cs="Arial"/>
          <w:bCs/>
          <w:sz w:val="18"/>
          <w:szCs w:val="18"/>
        </w:rPr>
        <w:t>de seus contatos eletrônicos, nos quais poderá receber comunicações processuais</w:t>
      </w:r>
      <w:r w:rsidRPr="00305494">
        <w:rPr>
          <w:rFonts w:cs="Arial"/>
          <w:bCs/>
          <w:sz w:val="18"/>
          <w:szCs w:val="18"/>
        </w:rPr>
        <w:t xml:space="preserve">. </w:t>
      </w:r>
    </w:p>
    <w:p w14:paraId="16B80833" w14:textId="77777777" w:rsidR="00D300F1" w:rsidRDefault="00D300F1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</w:p>
    <w:p w14:paraId="2D1F5390" w14:textId="77777777" w:rsidR="00D300F1" w:rsidRPr="002A0A2D" w:rsidRDefault="00D300F1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25D57648" w14:textId="77777777" w:rsidR="00D300F1" w:rsidRDefault="00D300F1" w:rsidP="0091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5494">
        <w:rPr>
          <w:rFonts w:eastAsia="Times New Roman" w:cs="Arial"/>
          <w:sz w:val="18"/>
          <w:szCs w:val="18"/>
        </w:rPr>
        <w:t xml:space="preserve">O(A) Oficial de Justiça </w:t>
      </w:r>
      <w:r w:rsidRPr="00305494">
        <w:rPr>
          <w:rFonts w:cs="Arial"/>
          <w:bCs/>
          <w:sz w:val="18"/>
          <w:szCs w:val="18"/>
        </w:rPr>
        <w:t>também</w:t>
      </w:r>
      <w:r>
        <w:rPr>
          <w:rFonts w:eastAsia="Times New Roman" w:cs="Arial"/>
          <w:sz w:val="18"/>
          <w:szCs w:val="18"/>
        </w:rPr>
        <w:t xml:space="preserve"> d</w:t>
      </w:r>
      <w:r w:rsidRPr="00305494">
        <w:rPr>
          <w:rFonts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eastAsia="Times New Roman" w:cs="Arial"/>
          <w:sz w:val="18"/>
          <w:szCs w:val="18"/>
        </w:rPr>
        <w:t>possui outros endereços onde pode ser localizado(a) ou meios para ser contatado(a)</w:t>
      </w:r>
      <w:r>
        <w:rPr>
          <w:rFonts w:eastAsia="Times New Roman" w:cs="Arial"/>
          <w:sz w:val="18"/>
          <w:szCs w:val="18"/>
        </w:rPr>
        <w:t>, assim como</w:t>
      </w:r>
      <w:r w:rsidRPr="00305494">
        <w:rPr>
          <w:rFonts w:eastAsia="Times New Roman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09278020" w14:textId="77777777" w:rsidR="00D300F1" w:rsidRPr="000B48C6" w:rsidRDefault="00D300F1" w:rsidP="0091478D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4B6B088B" w14:textId="0C948F9D" w:rsidR="00D300F1" w:rsidRDefault="00D300F1" w:rsidP="00914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3CCD">
        <w:rPr>
          <w:rFonts w:eastAsia="Arial" w:cs="Arial"/>
          <w:b/>
          <w:bCs/>
          <w:sz w:val="18"/>
          <w:szCs w:val="18"/>
        </w:rPr>
        <w:t>MUDOU DE ENDEREÇO?</w:t>
      </w:r>
      <w:r w:rsidRPr="008B3CCD">
        <w:rPr>
          <w:rFonts w:eastAsia="Arial" w:cs="Arial"/>
          <w:sz w:val="18"/>
          <w:szCs w:val="18"/>
        </w:rPr>
        <w:t xml:space="preserve"> É d</w:t>
      </w:r>
      <w:r w:rsidRPr="008B3CCD">
        <w:rPr>
          <w:rFonts w:cs="Arial"/>
          <w:sz w:val="18"/>
          <w:szCs w:val="18"/>
        </w:rPr>
        <w:t xml:space="preserve">ever da parte informar e manter atualizado 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B3CCD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8B3CCD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B3CCD">
        <w:rPr>
          <w:rFonts w:cs="Arial"/>
          <w:sz w:val="18"/>
          <w:szCs w:val="18"/>
        </w:rPr>
        <w:t xml:space="preserve">Caso contrário, as intimações enviadas aos contatos </w:t>
      </w:r>
      <w:r w:rsidRPr="008B3CCD">
        <w:rPr>
          <w:rFonts w:cs="Arial"/>
          <w:sz w:val="18"/>
          <w:szCs w:val="18"/>
        </w:rPr>
        <w:lastRenderedPageBreak/>
        <w:t>antigos, informados no processo, poderão ser consideradas válidas</w:t>
      </w:r>
      <w:r w:rsidRPr="008B3CCD">
        <w:rPr>
          <w:rFonts w:eastAsia="Arial" w:cs="Arial"/>
          <w:sz w:val="18"/>
          <w:szCs w:val="18"/>
        </w:rPr>
        <w:t xml:space="preserve"> (</w:t>
      </w:r>
      <w:proofErr w:type="spellStart"/>
      <w:r w:rsidRPr="008B3CCD">
        <w:rPr>
          <w:rFonts w:eastAsia="Arial" w:cs="Arial"/>
          <w:sz w:val="18"/>
          <w:szCs w:val="18"/>
        </w:rPr>
        <w:t>arts</w:t>
      </w:r>
      <w:proofErr w:type="spellEnd"/>
      <w:r w:rsidRPr="008B3CCD">
        <w:rPr>
          <w:rFonts w:eastAsia="Arial" w:cs="Arial"/>
          <w:sz w:val="18"/>
          <w:szCs w:val="18"/>
        </w:rPr>
        <w:t>. 77 e 274, CPC; art. 217, §</w:t>
      </w:r>
      <w:r w:rsidR="00F53204">
        <w:rPr>
          <w:rFonts w:eastAsia="Arial" w:cs="Arial"/>
          <w:sz w:val="18"/>
          <w:szCs w:val="18"/>
        </w:rPr>
        <w:t xml:space="preserve"> </w:t>
      </w:r>
      <w:r w:rsidRPr="008B3CCD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643389D2" w14:textId="77777777" w:rsidR="00D300F1" w:rsidRPr="000B48C6" w:rsidRDefault="00D300F1" w:rsidP="0091478D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474EC1E4" w14:textId="54B6BA5A" w:rsidR="00D300F1" w:rsidRDefault="00D300F1" w:rsidP="0091478D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291036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291036">
        <w:rPr>
          <w:rFonts w:eastAsia="Times New Roman" w:cs="Arial"/>
          <w:sz w:val="18"/>
          <w:szCs w:val="18"/>
          <w:lang w:eastAsia="pt-BR"/>
        </w:rPr>
        <w:t>Caso necessário, a Secretaria pode ser conta</w:t>
      </w:r>
      <w:r>
        <w:rPr>
          <w:rFonts w:eastAsia="Times New Roman" w:cs="Arial"/>
          <w:sz w:val="18"/>
          <w:szCs w:val="18"/>
          <w:lang w:eastAsia="pt-BR"/>
        </w:rPr>
        <w:t>ta</w:t>
      </w:r>
      <w:r w:rsidRPr="00291036">
        <w:rPr>
          <w:rFonts w:eastAsia="Times New Roman" w:cs="Arial"/>
          <w:sz w:val="18"/>
          <w:szCs w:val="18"/>
          <w:lang w:eastAsia="pt-BR"/>
        </w:rPr>
        <w:t>da</w:t>
      </w:r>
      <w:r w:rsidRPr="00291036">
        <w:rPr>
          <w:rFonts w:cs="Arial"/>
          <w:sz w:val="18"/>
          <w:szCs w:val="18"/>
        </w:rPr>
        <w:t xml:space="preserve"> 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eastAsia="Arial" w:cs="Arial"/>
          <w:sz w:val="18"/>
          <w:szCs w:val="18"/>
        </w:rPr>
        <w:t>por meio de uma das seguintes formas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: </w:t>
      </w:r>
      <w:r w:rsidRPr="0088214B">
        <w:rPr>
          <w:rFonts w:eastAsia="Times New Roman" w:cs="Arial"/>
          <w:b/>
          <w:sz w:val="18"/>
          <w:szCs w:val="18"/>
          <w:lang w:eastAsia="pt-BR"/>
        </w:rPr>
        <w:t>a)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291036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eastAsia="Times New Roman" w:cs="Arial"/>
          <w:sz w:val="18"/>
          <w:szCs w:val="18"/>
          <w:lang w:eastAsia="pt-BR"/>
        </w:rPr>
        <w:t xml:space="preserve">; </w:t>
      </w:r>
      <w:r w:rsidRPr="0088214B">
        <w:rPr>
          <w:rFonts w:eastAsia="Times New Roman" w:cs="Arial"/>
          <w:b/>
          <w:sz w:val="18"/>
          <w:szCs w:val="18"/>
          <w:lang w:eastAsia="pt-BR"/>
        </w:rPr>
        <w:t>b)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91036">
        <w:rPr>
          <w:rFonts w:eastAsia="Times New Roman" w:cs="Arial"/>
          <w:b/>
          <w:sz w:val="18"/>
          <w:szCs w:val="18"/>
          <w:lang w:eastAsia="pt-BR"/>
        </w:rPr>
        <w:t>c)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291036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291036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0117F833" w14:textId="77777777" w:rsidR="00D300F1" w:rsidRPr="0091478D" w:rsidRDefault="00D300F1" w:rsidP="00D300F1">
      <w:pPr>
        <w:spacing w:after="0"/>
        <w:jc w:val="both"/>
        <w:rPr>
          <w:rFonts w:eastAsia="Times New Roman" w:cs="Arial"/>
          <w:sz w:val="18"/>
          <w:szCs w:val="18"/>
          <w:lang w:eastAsia="pt-BR"/>
        </w:rPr>
      </w:pPr>
    </w:p>
    <w:p w14:paraId="74D76982" w14:textId="77777777" w:rsidR="00B96159" w:rsidRPr="0091478D" w:rsidRDefault="00B96159" w:rsidP="00B96159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91478D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06F79BB6" w14:textId="570A53F7" w:rsidR="00B96159" w:rsidRPr="0091478D" w:rsidRDefault="00B96159" w:rsidP="00B96159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91478D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D300F1" w:rsidRPr="0091478D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91478D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D300F1" w:rsidRPr="0091478D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91478D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641D55C7" w14:textId="6753A39C" w:rsidR="00B96159" w:rsidRPr="0091478D" w:rsidRDefault="00D300F1" w:rsidP="00B9615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t-BR"/>
        </w:rPr>
      </w:pP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C2A2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 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2C2A21">
        <w:rPr>
          <w:rFonts w:eastAsia="Times New Roman" w:cs="Arial"/>
          <w:sz w:val="14"/>
          <w:szCs w:val="14"/>
          <w:lang w:eastAsia="pt-BR"/>
        </w:rPr>
        <w:t>. </w:t>
      </w:r>
      <w:r>
        <w:rPr>
          <w:rFonts w:eastAsia="Times New Roman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eastAsia="Times New Roman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 xml:space="preserve">, que deverá ser solicitada à Secretaria da Unidade Judicial. </w:t>
      </w:r>
      <w:r w:rsidRPr="00E947D5">
        <w:rPr>
          <w:rFonts w:eastAsia="Times New Roman" w:cs="Arial"/>
          <w:i/>
          <w:sz w:val="14"/>
          <w:szCs w:val="14"/>
          <w:lang w:eastAsia="pt-BR"/>
        </w:rPr>
        <w:t>O processo apresenta consulta pública restringida por tratar-se de Segredo de Justiça, nos termos do art. 189, inc. II e § 1º, CPC</w:t>
      </w:r>
      <w:r w:rsidRPr="006A52FA">
        <w:rPr>
          <w:rFonts w:eastAsia="Times New Roman" w:cs="Arial"/>
          <w:sz w:val="14"/>
          <w:szCs w:val="14"/>
          <w:lang w:eastAsia="pt-BR"/>
        </w:rPr>
        <w:t>.</w:t>
      </w:r>
    </w:p>
    <w:sectPr w:rsidR="00B96159" w:rsidRPr="009147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0B9C" w14:textId="77777777" w:rsidR="006E35C3" w:rsidRDefault="006E35C3" w:rsidP="00EC0367">
      <w:pPr>
        <w:spacing w:after="0" w:line="240" w:lineRule="auto"/>
      </w:pPr>
      <w:r>
        <w:separator/>
      </w:r>
    </w:p>
  </w:endnote>
  <w:endnote w:type="continuationSeparator" w:id="0">
    <w:p w14:paraId="20DB6DB2" w14:textId="77777777" w:rsidR="006E35C3" w:rsidRDefault="006E35C3" w:rsidP="00EC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74EC6" w14:textId="77777777" w:rsidR="006E35C3" w:rsidRDefault="006E35C3" w:rsidP="00EC0367">
      <w:pPr>
        <w:spacing w:after="0" w:line="240" w:lineRule="auto"/>
      </w:pPr>
      <w:r>
        <w:separator/>
      </w:r>
    </w:p>
  </w:footnote>
  <w:footnote w:type="continuationSeparator" w:id="0">
    <w:p w14:paraId="1F04A80D" w14:textId="77777777" w:rsidR="006E35C3" w:rsidRDefault="006E35C3" w:rsidP="00EC0367">
      <w:pPr>
        <w:spacing w:after="0" w:line="240" w:lineRule="auto"/>
      </w:pPr>
      <w:r>
        <w:continuationSeparator/>
      </w:r>
    </w:p>
  </w:footnote>
  <w:footnote w:id="1">
    <w:p w14:paraId="2B9F8A42" w14:textId="362DA4EA" w:rsidR="00AC5A27" w:rsidRPr="006106E5" w:rsidRDefault="00AC5A27" w:rsidP="00AC5A2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 w:rsidRPr="006106E5">
        <w:rPr>
          <w:rStyle w:val="Refdenotaderodap"/>
          <w:sz w:val="16"/>
          <w:szCs w:val="16"/>
        </w:rPr>
        <w:footnoteRef/>
      </w:r>
      <w:r w:rsidRPr="006106E5">
        <w:rPr>
          <w:sz w:val="16"/>
          <w:szCs w:val="16"/>
        </w:rPr>
        <w:t xml:space="preserve"> </w:t>
      </w:r>
      <w:r w:rsidR="00D300F1" w:rsidRPr="007F3BB1">
        <w:rPr>
          <w:rFonts w:eastAsia="Times New Roman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D300F1" w:rsidRPr="007F3BB1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eletrônico"</w:t>
      </w:r>
      <w:r w:rsidR="00D300F1" w:rsidRPr="007F3BB1">
        <w:rPr>
          <w:rFonts w:eastAsia="Times New Roman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D300F1">
        <w:rPr>
          <w:rFonts w:eastAsia="Times New Roman" w:cs="Arial"/>
          <w:sz w:val="14"/>
          <w:szCs w:val="14"/>
          <w:lang w:eastAsia="pt-BR"/>
        </w:rPr>
        <w:t xml:space="preserve">. </w:t>
      </w:r>
      <w:r w:rsidR="00D300F1" w:rsidRPr="004A0879">
        <w:rPr>
          <w:rFonts w:eastAsia="Times New Roman" w:cs="Arial"/>
          <w:sz w:val="14"/>
          <w:szCs w:val="14"/>
          <w:lang w:eastAsia="pt-BR"/>
        </w:rPr>
        <w:t>Conforme entendimento da CGJ/TJPR,</w:t>
      </w:r>
      <w:r w:rsidR="00D300F1">
        <w:rPr>
          <w:rFonts w:eastAsia="Times New Roman" w:cs="Arial"/>
          <w:sz w:val="14"/>
          <w:szCs w:val="14"/>
          <w:lang w:eastAsia="pt-BR"/>
        </w:rPr>
        <w:t xml:space="preserve"> </w:t>
      </w:r>
      <w:r w:rsidR="00D300F1" w:rsidRPr="004A0879">
        <w:rPr>
          <w:rFonts w:eastAsia="Times New Roman" w:cs="Arial"/>
          <w:sz w:val="14"/>
          <w:szCs w:val="14"/>
          <w:lang w:eastAsia="pt-BR"/>
        </w:rPr>
        <w:t>mesmo que o corpo do mandado contenha endereços eletrônicos que possibilitem o "</w:t>
      </w:r>
      <w:r w:rsidR="00D300F1" w:rsidRPr="004A0879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</w:t>
      </w:r>
      <w:r w:rsidR="00D300F1" w:rsidRPr="004A0879">
        <w:rPr>
          <w:rFonts w:eastAsia="Times New Roman" w:cs="Arial"/>
          <w:sz w:val="14"/>
          <w:szCs w:val="14"/>
          <w:lang w:eastAsia="pt-BR"/>
        </w:rPr>
        <w:t>", deverá ser indicado um endereço físico para cumprimento</w:t>
      </w:r>
      <w:r w:rsidR="00D300F1">
        <w:rPr>
          <w:rFonts w:eastAsia="Times New Roman" w:cs="Arial"/>
          <w:sz w:val="14"/>
          <w:szCs w:val="14"/>
          <w:lang w:eastAsia="pt-BR"/>
        </w:rPr>
        <w:t>,</w:t>
      </w:r>
      <w:r w:rsidR="00D300F1" w:rsidRPr="004A0879">
        <w:rPr>
          <w:rFonts w:eastAsia="Times New Roman" w:cs="Arial"/>
          <w:sz w:val="14"/>
          <w:szCs w:val="14"/>
          <w:lang w:eastAsia="pt-BR"/>
        </w:rPr>
        <w:t xml:space="preserve"> conforme a competência territorial de cada Foro ou Comarca</w:t>
      </w:r>
      <w:r w:rsidR="00D300F1">
        <w:rPr>
          <w:rFonts w:eastAsia="Times New Roman" w:cs="Arial"/>
          <w:sz w:val="14"/>
          <w:szCs w:val="14"/>
          <w:lang w:eastAsia="pt-BR"/>
        </w:rPr>
        <w:t xml:space="preserve"> (Acesse </w:t>
      </w:r>
      <w:hyperlink r:id="rId1" w:history="1">
        <w:r w:rsidR="00D300F1" w:rsidRPr="000C6FDB">
          <w:rPr>
            <w:rStyle w:val="Hyperlink"/>
            <w:rFonts w:eastAsia="Times New Roman" w:cs="Arial"/>
            <w:sz w:val="14"/>
            <w:szCs w:val="14"/>
            <w:lang w:eastAsia="pt-BR"/>
          </w:rPr>
          <w:t>aqui</w:t>
        </w:r>
      </w:hyperlink>
      <w:r w:rsidR="00D300F1">
        <w:rPr>
          <w:rFonts w:eastAsia="Times New Roman" w:cs="Arial"/>
          <w:sz w:val="14"/>
          <w:szCs w:val="14"/>
          <w:lang w:eastAsia="pt-BR"/>
        </w:rPr>
        <w:t xml:space="preserve"> a decisão da CGJ/TJPR).</w:t>
      </w:r>
    </w:p>
  </w:footnote>
  <w:footnote w:id="2">
    <w:p w14:paraId="6E578649" w14:textId="2F46C77F" w:rsidR="000C37E9" w:rsidRPr="0091478D" w:rsidRDefault="000C37E9" w:rsidP="000C37E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4"/>
          <w:szCs w:val="14"/>
        </w:rPr>
      </w:pPr>
      <w:r w:rsidRPr="0091478D">
        <w:rPr>
          <w:rStyle w:val="Refdenotaderodap"/>
          <w:rFonts w:ascii="Arial" w:hAnsi="Arial" w:cs="Arial"/>
          <w:sz w:val="14"/>
          <w:szCs w:val="14"/>
        </w:rPr>
        <w:footnoteRef/>
      </w:r>
      <w:r w:rsidRPr="0091478D">
        <w:rPr>
          <w:rFonts w:ascii="Arial" w:hAnsi="Arial" w:cs="Arial"/>
          <w:sz w:val="14"/>
          <w:szCs w:val="14"/>
        </w:rPr>
        <w:t xml:space="preserve"> C</w:t>
      </w:r>
      <w:r w:rsidR="00D300F1" w:rsidRPr="0091478D">
        <w:rPr>
          <w:rFonts w:ascii="Arial" w:hAnsi="Arial" w:cs="Arial"/>
          <w:sz w:val="14"/>
          <w:szCs w:val="14"/>
        </w:rPr>
        <w:t xml:space="preserve">ódigo de </w:t>
      </w:r>
      <w:r w:rsidRPr="0091478D">
        <w:rPr>
          <w:rFonts w:ascii="Arial" w:hAnsi="Arial" w:cs="Arial"/>
          <w:sz w:val="14"/>
          <w:szCs w:val="14"/>
        </w:rPr>
        <w:t>P</w:t>
      </w:r>
      <w:r w:rsidR="00D300F1" w:rsidRPr="0091478D">
        <w:rPr>
          <w:rFonts w:ascii="Arial" w:hAnsi="Arial" w:cs="Arial"/>
          <w:sz w:val="14"/>
          <w:szCs w:val="14"/>
        </w:rPr>
        <w:t xml:space="preserve">rocesso </w:t>
      </w:r>
      <w:r w:rsidRPr="0091478D">
        <w:rPr>
          <w:rFonts w:ascii="Arial" w:hAnsi="Arial" w:cs="Arial"/>
          <w:sz w:val="14"/>
          <w:szCs w:val="14"/>
        </w:rPr>
        <w:t>C</w:t>
      </w:r>
      <w:r w:rsidR="00D300F1" w:rsidRPr="0091478D">
        <w:rPr>
          <w:rFonts w:ascii="Arial" w:hAnsi="Arial" w:cs="Arial"/>
          <w:sz w:val="14"/>
          <w:szCs w:val="14"/>
        </w:rPr>
        <w:t xml:space="preserve">ivil: </w:t>
      </w:r>
      <w:r w:rsidRPr="0091478D">
        <w:rPr>
          <w:rFonts w:ascii="Arial" w:hAnsi="Arial" w:cs="Arial"/>
          <w:sz w:val="14"/>
          <w:szCs w:val="14"/>
        </w:rPr>
        <w:t>CAPÍTULO IV - DO CUMPRIMENTO DE SENTENÇA QUE RECONHEÇA A EXIGIBILIDADE DE OBRIGAÇÃO DE PRESTAR ALIMENTOS: “</w:t>
      </w:r>
      <w:r w:rsidRPr="0091478D">
        <w:rPr>
          <w:rFonts w:ascii="Arial" w:hAnsi="Arial" w:cs="Arial"/>
          <w:color w:val="000000"/>
          <w:sz w:val="14"/>
          <w:szCs w:val="14"/>
        </w:rPr>
        <w:t>Art. 528.</w:t>
      </w:r>
      <w:bookmarkStart w:id="0" w:name="art528§1"/>
      <w:bookmarkStart w:id="1" w:name="art528§4"/>
      <w:bookmarkStart w:id="2" w:name="art528§8"/>
      <w:bookmarkEnd w:id="0"/>
      <w:bookmarkEnd w:id="1"/>
      <w:bookmarkEnd w:id="2"/>
      <w:r w:rsidRPr="0091478D">
        <w:rPr>
          <w:rFonts w:ascii="Arial" w:hAnsi="Arial" w:cs="Arial"/>
          <w:color w:val="000000"/>
          <w:sz w:val="14"/>
          <w:szCs w:val="14"/>
        </w:rPr>
        <w:t xml:space="preserve"> [...] </w:t>
      </w:r>
      <w:r w:rsidR="001804A1" w:rsidRPr="0091478D">
        <w:rPr>
          <w:rFonts w:ascii="Arial" w:hAnsi="Arial" w:cs="Arial"/>
          <w:color w:val="000000"/>
          <w:sz w:val="14"/>
          <w:szCs w:val="14"/>
        </w:rPr>
        <w:t xml:space="preserve">§ 7º O débito alimentar que autoriza a prisão civil do alimentante é o que compreende até as 3 (três) prestações anteriores ao ajuizamento da execução e as que se vencerem no curso do processo. </w:t>
      </w:r>
      <w:r w:rsidRPr="0091478D">
        <w:rPr>
          <w:rFonts w:ascii="Arial" w:hAnsi="Arial" w:cs="Arial"/>
          <w:color w:val="000000"/>
          <w:sz w:val="14"/>
          <w:szCs w:val="14"/>
        </w:rPr>
        <w:t>§ 8º O exequente pode optar por promover o cumprimento da sentença ou decisão desde logo, nos termos do disposto neste Livro, Título II, Capítulo III, caso em que não será admissível a prisão do executado, e, recaindo a penhora em dinheiro, a concessão de efeito suspensivo à impugnação não obsta a que o exequente levante mensalmente a importância da prestação.”</w:t>
      </w:r>
      <w:r w:rsidR="00D300F1" w:rsidRPr="0091478D">
        <w:rPr>
          <w:rFonts w:ascii="Arial" w:hAnsi="Arial" w:cs="Arial"/>
          <w:color w:val="000000"/>
          <w:sz w:val="14"/>
          <w:szCs w:val="14"/>
        </w:rPr>
        <w:t>.</w:t>
      </w:r>
    </w:p>
  </w:footnote>
  <w:footnote w:id="3">
    <w:p w14:paraId="73BD3894" w14:textId="1E926843" w:rsidR="00D300F1" w:rsidRDefault="00D300F1" w:rsidP="0091478D">
      <w:pPr>
        <w:pStyle w:val="Textodenotaderodap"/>
        <w:jc w:val="both"/>
      </w:pPr>
      <w:r w:rsidRPr="0091478D">
        <w:rPr>
          <w:rStyle w:val="Refdenotaderodap"/>
          <w:sz w:val="14"/>
          <w:szCs w:val="14"/>
        </w:rPr>
        <w:footnoteRef/>
      </w:r>
      <w:r w:rsidRPr="0091478D">
        <w:rPr>
          <w:sz w:val="14"/>
          <w:szCs w:val="14"/>
        </w:rPr>
        <w:t xml:space="preserve"> </w:t>
      </w:r>
      <w:r w:rsidRPr="00F332F4">
        <w:rPr>
          <w:rFonts w:cs="Arial"/>
          <w:sz w:val="14"/>
          <w:szCs w:val="14"/>
        </w:rPr>
        <w:t xml:space="preserve">Código de Normas do Foro Judicial do TJPR (Provimento </w:t>
      </w:r>
      <w:r w:rsidR="0091478D">
        <w:rPr>
          <w:rFonts w:cs="Arial"/>
          <w:sz w:val="14"/>
          <w:szCs w:val="14"/>
        </w:rPr>
        <w:t xml:space="preserve">nº </w:t>
      </w:r>
      <w:r w:rsidRPr="00F332F4">
        <w:rPr>
          <w:rFonts w:cs="Arial"/>
          <w:sz w:val="14"/>
          <w:szCs w:val="14"/>
        </w:rPr>
        <w:t>316/2022): “Art. 235. A intimação para pagamento ou depósito de certa quantia, preparo de conta ou mera ciência de cálculo ou conta deverá sempre expressar o valor</w:t>
      </w:r>
      <w:r w:rsidR="0091478D">
        <w:rPr>
          <w:rFonts w:cs="Arial"/>
          <w:sz w:val="14"/>
          <w:szCs w:val="14"/>
        </w:rPr>
        <w:t>.</w:t>
      </w:r>
      <w:r w:rsidRPr="00F332F4">
        <w:rPr>
          <w:rFonts w:cs="Arial"/>
          <w:sz w:val="14"/>
          <w:szCs w:val="14"/>
        </w:rPr>
        <w:t>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F8"/>
    <w:rsid w:val="000C37E9"/>
    <w:rsid w:val="001176EC"/>
    <w:rsid w:val="00150008"/>
    <w:rsid w:val="001804A1"/>
    <w:rsid w:val="001A21E5"/>
    <w:rsid w:val="00227B40"/>
    <w:rsid w:val="0023796A"/>
    <w:rsid w:val="002A6C18"/>
    <w:rsid w:val="002E0241"/>
    <w:rsid w:val="00307616"/>
    <w:rsid w:val="00323C4A"/>
    <w:rsid w:val="003429BB"/>
    <w:rsid w:val="003D4DEE"/>
    <w:rsid w:val="00413EF4"/>
    <w:rsid w:val="005A2D50"/>
    <w:rsid w:val="005A5CC5"/>
    <w:rsid w:val="005B20A1"/>
    <w:rsid w:val="006C0C92"/>
    <w:rsid w:val="006E35C3"/>
    <w:rsid w:val="008771AB"/>
    <w:rsid w:val="0091478D"/>
    <w:rsid w:val="00972919"/>
    <w:rsid w:val="00AC5A27"/>
    <w:rsid w:val="00AE432E"/>
    <w:rsid w:val="00B05308"/>
    <w:rsid w:val="00B14D3A"/>
    <w:rsid w:val="00B944C8"/>
    <w:rsid w:val="00B96159"/>
    <w:rsid w:val="00C46CE6"/>
    <w:rsid w:val="00C53BC6"/>
    <w:rsid w:val="00C77BB0"/>
    <w:rsid w:val="00CB1028"/>
    <w:rsid w:val="00D12CF8"/>
    <w:rsid w:val="00D300F1"/>
    <w:rsid w:val="00EB0535"/>
    <w:rsid w:val="00EC0367"/>
    <w:rsid w:val="00ED59B9"/>
    <w:rsid w:val="00F53204"/>
    <w:rsid w:val="00FA2D4D"/>
    <w:rsid w:val="00FB2ED6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F0C9"/>
  <w15:chartTrackingRefBased/>
  <w15:docId w15:val="{2F34CFA4-55D5-4698-B1C0-AD382BF2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CF8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1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D12CF8"/>
  </w:style>
  <w:style w:type="character" w:customStyle="1" w:styleId="eop">
    <w:name w:val="eop"/>
    <w:basedOn w:val="Fontepargpadro"/>
    <w:rsid w:val="00D12CF8"/>
  </w:style>
  <w:style w:type="character" w:styleId="Hyperlink">
    <w:name w:val="Hyperlink"/>
    <w:basedOn w:val="Fontepargpadro"/>
    <w:uiPriority w:val="99"/>
    <w:semiHidden/>
    <w:unhideWhenUsed/>
    <w:rsid w:val="003D4DE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D4DEE"/>
    <w:rPr>
      <w:b/>
      <w:bCs/>
    </w:rPr>
  </w:style>
  <w:style w:type="character" w:styleId="nfase">
    <w:name w:val="Emphasis"/>
    <w:basedOn w:val="Fontepargpadro"/>
    <w:uiPriority w:val="20"/>
    <w:qFormat/>
    <w:rsid w:val="003D4DEE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036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0367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03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C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0F1"/>
    <w:pPr>
      <w:ind w:left="720"/>
      <w:contextualSpacing/>
    </w:pPr>
  </w:style>
  <w:style w:type="paragraph" w:styleId="SemEspaamento">
    <w:name w:val="No Spacing"/>
    <w:uiPriority w:val="1"/>
    <w:qFormat/>
    <w:rsid w:val="00D300F1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91478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B6C93F34198F4F971F6C202F3F22EF" ma:contentTypeVersion="11" ma:contentTypeDescription="Crie um novo documento." ma:contentTypeScope="" ma:versionID="40a6715b01b68d35ed8ae742cb04e7ca">
  <xsd:schema xmlns:xsd="http://www.w3.org/2001/XMLSchema" xmlns:xs="http://www.w3.org/2001/XMLSchema" xmlns:p="http://schemas.microsoft.com/office/2006/metadata/properties" xmlns:ns2="8cee5456-31ae-4776-ab0a-cb92274a1516" xmlns:ns3="1da25024-c2c0-4b47-8ded-424dc3ca25c9" targetNamespace="http://schemas.microsoft.com/office/2006/metadata/properties" ma:root="true" ma:fieldsID="e10ef919f77ae14aea57240b3c56379a" ns2:_="" ns3:_="">
    <xsd:import namespace="8cee5456-31ae-4776-ab0a-cb92274a1516"/>
    <xsd:import namespace="1da25024-c2c0-4b47-8ded-424dc3ca2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5456-31ae-4776-ab0a-cb92274a1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5024-c2c0-4b47-8ded-424dc3ca2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0D1C25-53B3-4492-A042-960E25065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e5456-31ae-4776-ab0a-cb92274a1516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86C1BE-1732-4488-B64C-60B5CF7A00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304E2C-31AA-44D8-9D28-8C103BC559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1E29EF-5E10-42F4-8A94-9D3B92308A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836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Scholles</cp:lastModifiedBy>
  <cp:revision>17</cp:revision>
  <dcterms:created xsi:type="dcterms:W3CDTF">2022-02-21T20:20:00Z</dcterms:created>
  <dcterms:modified xsi:type="dcterms:W3CDTF">2023-06-23T23:35:00Z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0x01010008B6C93F34198F4F971F6C202F3F22EF</vt:lpwstr>
  </property>
</Properties>
</file>