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2DF7" w14:textId="77777777" w:rsidR="0009650F" w:rsidRPr="000F3B17" w:rsidRDefault="0009650F" w:rsidP="0009650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B1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0F3B1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47E04F8" w14:textId="77777777" w:rsidR="0009650F" w:rsidRPr="000F3B17" w:rsidRDefault="0009650F" w:rsidP="0009650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B1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11916654" w14:textId="77777777" w:rsidR="0009650F" w:rsidRPr="000F3B17" w:rsidRDefault="0009650F" w:rsidP="0009650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B1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09650F" w:rsidRPr="000F3B17" w14:paraId="5AA6AB9E" w14:textId="77777777" w:rsidTr="002F7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F5BE4" w14:textId="77777777" w:rsidR="0009650F" w:rsidRPr="000F3B17" w:rsidRDefault="0009650F" w:rsidP="002F73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44F638" w14:textId="77777777" w:rsidR="0009650F" w:rsidRPr="000F3B17" w:rsidRDefault="0009650F" w:rsidP="002F73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0F3B1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F3B1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F3B1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09650F" w:rsidRPr="000F3B17" w14:paraId="49DEF42E" w14:textId="77777777" w:rsidTr="002F7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2AE2E" w14:textId="77777777" w:rsidR="0009650F" w:rsidRPr="000F3B17" w:rsidRDefault="0009650F" w:rsidP="002F73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B0F620" w14:textId="77777777" w:rsidR="0009650F" w:rsidRPr="000F3B17" w:rsidRDefault="0009650F" w:rsidP="002F73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09650F" w:rsidRPr="000F3B17" w14:paraId="50825B8F" w14:textId="77777777" w:rsidTr="002F7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A584A" w14:textId="77777777" w:rsidR="0009650F" w:rsidRPr="000F3B17" w:rsidRDefault="0009650F" w:rsidP="002F73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B17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F3B17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29BE9E" w14:textId="77777777" w:rsidR="0009650F" w:rsidRPr="000F3B17" w:rsidRDefault="0009650F" w:rsidP="002F73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B17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36D5F6C3" w14:textId="5B032EB5" w:rsidR="0009650F" w:rsidRPr="00BB287B" w:rsidRDefault="0009650F" w:rsidP="0009650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BB287B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BB287B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BB287B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BB287B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BB287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() </w:t>
      </w:r>
      <w:r w:rsidRPr="00BB287B">
        <w:rPr>
          <w:rFonts w:ascii="Arial" w:hAnsi="Arial" w:cs="Arial"/>
          <w:b/>
          <w:bCs/>
          <w:sz w:val="22"/>
          <w:szCs w:val="22"/>
          <w:u w:val="single"/>
        </w:rPr>
        <w:t>de $</w:t>
      </w:r>
      <w:proofErr w:type="spellStart"/>
      <w:r w:rsidRPr="00BB287B">
        <w:rPr>
          <w:rFonts w:ascii="Arial" w:hAnsi="Arial" w:cs="Arial"/>
          <w:b/>
          <w:bCs/>
          <w:sz w:val="22"/>
          <w:szCs w:val="22"/>
          <w:u w:val="single"/>
        </w:rPr>
        <w:t>cumprimentoCartorio.getNaturezaMandado</w:t>
      </w:r>
      <w:proofErr w:type="spellEnd"/>
      <w:r w:rsidRPr="00BB287B">
        <w:rPr>
          <w:rFonts w:ascii="Arial" w:hAnsi="Arial" w:cs="Arial"/>
          <w:b/>
          <w:bCs/>
          <w:sz w:val="22"/>
          <w:szCs w:val="22"/>
          <w:u w:val="single"/>
        </w:rPr>
        <w:t>().</w:t>
      </w:r>
      <w:proofErr w:type="spellStart"/>
      <w:r w:rsidRPr="00BB287B">
        <w:rPr>
          <w:rFonts w:ascii="Arial" w:hAnsi="Arial" w:cs="Arial"/>
          <w:b/>
          <w:bCs/>
          <w:sz w:val="22"/>
          <w:szCs w:val="22"/>
          <w:u w:val="single"/>
        </w:rPr>
        <w:t>getDescricao</w:t>
      </w:r>
      <w:proofErr w:type="spellEnd"/>
      <w:r w:rsidRPr="00BB287B">
        <w:rPr>
          <w:rFonts w:ascii="Arial" w:hAnsi="Arial" w:cs="Arial"/>
          <w:b/>
          <w:bCs/>
          <w:sz w:val="22"/>
          <w:szCs w:val="22"/>
          <w:u w:val="single"/>
        </w:rPr>
        <w:t>()</w:t>
      </w:r>
      <w:r w:rsidRPr="000F3B17">
        <w:rPr>
          <w:rFonts w:cs="Arial"/>
        </w:rPr>
        <w:br/>
      </w:r>
      <w:r w:rsidRPr="00BB287B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Pr="00BB287B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Pr="00BB287B">
        <w:rPr>
          <w:rFonts w:ascii="Arial" w:hAnsi="Arial" w:cs="Arial"/>
          <w:b/>
          <w:bCs/>
          <w:sz w:val="18"/>
          <w:szCs w:val="18"/>
        </w:rPr>
        <w:t xml:space="preserve"> #if( $</w:t>
      </w:r>
      <w:proofErr w:type="spellStart"/>
      <w:r w:rsidRPr="00BB287B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Pr="00BB287B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Pr="00BB287B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Pr="00BB287B">
        <w:rPr>
          <w:rFonts w:ascii="Arial" w:hAnsi="Arial" w:cs="Arial"/>
          <w:b/>
          <w:bCs/>
          <w:sz w:val="18"/>
          <w:szCs w:val="18"/>
        </w:rPr>
        <w:t>()#end</w:t>
      </w:r>
    </w:p>
    <w:p w14:paraId="49687373" w14:textId="77777777" w:rsidR="0009650F" w:rsidRPr="00ED3B68" w:rsidRDefault="0009650F" w:rsidP="0009650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ED3B68">
        <w:rPr>
          <w:rFonts w:eastAsia="Times New Roman" w:cs="Arial"/>
          <w:i/>
          <w:iCs/>
          <w:color w:val="3300FF"/>
          <w:sz w:val="14"/>
          <w:szCs w:val="14"/>
          <w:lang w:eastAsia="pt-BR"/>
        </w:rPr>
        <w:t>cumprimento preferencial por meio eletrônico</w:t>
      </w:r>
      <w:r w:rsidRPr="00ED3B68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4721F019" w14:textId="77777777" w:rsidR="0009650F" w:rsidRPr="00ED3B68" w:rsidRDefault="0009650F" w:rsidP="0009650F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</w:p>
    <w:p w14:paraId="7C04C971" w14:textId="77777777" w:rsidR="0009650F" w:rsidRPr="000F3B17" w:rsidRDefault="0009650F" w:rsidP="0009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B17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0F3B17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0F3B17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0F3B17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0F3B17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0F3B17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F3B17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F3B17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0F3B17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EB0F680" w14:textId="77777777" w:rsidR="0009650F" w:rsidRPr="000F3B17" w:rsidRDefault="0009650F" w:rsidP="0009650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B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C95B59B" w14:textId="77777777" w:rsidR="00560113" w:rsidRDefault="0009650F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55CBF4EF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55CBF4EF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55CBF4EF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55CBF4EF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560113">
        <w:rPr>
          <w:rFonts w:eastAsia="Times New Roman" w:cs="Arial"/>
          <w:sz w:val="18"/>
          <w:szCs w:val="18"/>
          <w:lang w:eastAsia="pt-BR"/>
        </w:rPr>
        <w:t>:</w:t>
      </w:r>
    </w:p>
    <w:p w14:paraId="604CFE49" w14:textId="77777777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278A654" w14:textId="6F10A477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D3B68">
        <w:rPr>
          <w:rFonts w:eastAsia="Times New Roman" w:cs="Arial"/>
          <w:b/>
          <w:sz w:val="18"/>
          <w:szCs w:val="18"/>
          <w:lang w:eastAsia="pt-BR"/>
        </w:rPr>
        <w:t>1.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> </w:t>
      </w:r>
      <w:r w:rsidR="0009650F" w:rsidRPr="55CBF4E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da parte indicada</w:t>
      </w:r>
      <w:r w:rsidR="0009650F" w:rsidRPr="55CBF4EF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para que, no </w:t>
      </w:r>
      <w:r w:rsidR="0009650F" w:rsidRPr="55CBF4EF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, efetue o </w:t>
      </w:r>
      <w:r w:rsidR="0009650F" w:rsidRPr="55CBF4EF">
        <w:rPr>
          <w:rFonts w:eastAsia="Times New Roman" w:cs="Arial"/>
          <w:b/>
          <w:bCs/>
          <w:sz w:val="18"/>
          <w:szCs w:val="18"/>
          <w:lang w:eastAsia="pt-BR"/>
        </w:rPr>
        <w:t>pagamento do débito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a que foi condenado(a) acrescido de custas, no valor total de </w:t>
      </w:r>
      <w:r w:rsidR="0009650F" w:rsidRPr="00ED3B68">
        <w:rPr>
          <w:rFonts w:eastAsia="Times New Roman" w:cs="Arial"/>
          <w:b/>
          <w:sz w:val="18"/>
          <w:szCs w:val="18"/>
          <w:lang w:eastAsia="pt-BR"/>
        </w:rPr>
        <w:t>R$</w:t>
      </w:r>
      <w:r w:rsidR="0009650F" w:rsidRPr="00ED3B68">
        <w:rPr>
          <w:rFonts w:eastAsia="Times New Roman" w:cs="Arial"/>
          <w:b/>
          <w:color w:val="3300FF"/>
          <w:sz w:val="18"/>
          <w:szCs w:val="18"/>
          <w:lang w:eastAsia="pt-BR"/>
        </w:rPr>
        <w:t xml:space="preserve"> XXX,XX (valor por extenso)</w:t>
      </w:r>
      <w:r>
        <w:rPr>
          <w:rStyle w:val="Refdenotaderodap"/>
          <w:rFonts w:eastAsia="Times New Roman" w:cs="Arial"/>
          <w:color w:val="3300FF"/>
          <w:sz w:val="18"/>
          <w:szCs w:val="18"/>
          <w:lang w:eastAsia="pt-BR"/>
        </w:rPr>
        <w:footnoteReference w:id="2"/>
      </w:r>
      <w:r>
        <w:rPr>
          <w:rFonts w:eastAsia="Times New Roman" w:cs="Arial"/>
          <w:sz w:val="18"/>
          <w:szCs w:val="18"/>
          <w:lang w:eastAsia="pt-BR"/>
        </w:rPr>
        <w:t xml:space="preserve">, 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conforme cálculos </w:t>
      </w:r>
      <w:r w:rsidR="0009650F" w:rsidRPr="55CBF4EF">
        <w:rPr>
          <w:rFonts w:eastAsia="Times New Roman" w:cs="Arial"/>
          <w:color w:val="3300FF"/>
          <w:sz w:val="18"/>
          <w:szCs w:val="18"/>
          <w:lang w:eastAsia="pt-BR"/>
        </w:rPr>
        <w:t>em anexo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, acrescido de correção monetária e juros moratórios até a data do efetivo pagamento, sob pena de incidência de multa de 10% (dez por cento) e de honorários advocatícios de 10% (dez por cento), ambos incidentes cumulativamente sobre o débito atualizado ou sobre o valor restante, em caso de pagamento parcial, nos termos do art. 523, § 1º e 2º do Código de Processo Civil. </w:t>
      </w:r>
    </w:p>
    <w:p w14:paraId="5405664E" w14:textId="77777777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79CF5A8" w14:textId="7CB46715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D3B68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ED3B68"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3363C939" w14:textId="77777777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D3B68">
        <w:rPr>
          <w:rFonts w:eastAsia="Times New Roman" w:cs="Arial"/>
          <w:b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09650F" w:rsidRPr="00ED3B68">
        <w:rPr>
          <w:rFonts w:eastAsia="Times New Roman" w:cs="Arial"/>
          <w:sz w:val="18"/>
          <w:szCs w:val="18"/>
          <w:u w:val="single"/>
          <w:lang w:eastAsia="pt-BR"/>
        </w:rPr>
        <w:t>Efetuando o pagamento integral da dívida no prazo estipulado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>, a parte fica isenta do pagamento da multa, honorários advocatícios e custas processuais decorrentes do cumprimento de sentença, e havendo pagamento parcial, a multa incidirá sobre o restante da obrigação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726177D4" w14:textId="6A0ABD6F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D3B68"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P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oderá opor </w:t>
      </w:r>
      <w:r w:rsidR="0009650F" w:rsidRPr="55CBF4EF">
        <w:rPr>
          <w:rFonts w:eastAsia="Times New Roman" w:cs="Arial"/>
          <w:b/>
          <w:bCs/>
          <w:sz w:val="18"/>
          <w:szCs w:val="18"/>
          <w:lang w:eastAsia="pt-BR"/>
        </w:rPr>
        <w:t>impugnação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no </w:t>
      </w:r>
      <w:r w:rsidR="0009650F" w:rsidRPr="55CBF4EF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contados a partir do término do prazo para pagamento voluntário, por meio de advogado(a), independentemente de penhora ou nova intimação, conforme previsto no art. 525 do Código de Processo Civil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679BAA44" w14:textId="0900243C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D3B68">
        <w:rPr>
          <w:rFonts w:eastAsia="Times New Roman" w:cs="Arial"/>
          <w:b/>
          <w:sz w:val="18"/>
          <w:szCs w:val="18"/>
          <w:lang w:eastAsia="pt-BR"/>
        </w:rPr>
        <w:t>2.</w:t>
      </w:r>
      <w:r>
        <w:rPr>
          <w:rFonts w:eastAsia="Times New Roman" w:cs="Arial"/>
          <w:b/>
          <w:sz w:val="18"/>
          <w:szCs w:val="18"/>
          <w:lang w:eastAsia="pt-BR"/>
        </w:rPr>
        <w:t>3</w:t>
      </w:r>
      <w:r w:rsidRPr="00ED3B68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sz w:val="18"/>
          <w:szCs w:val="18"/>
          <w:lang w:eastAsia="pt-BR"/>
        </w:rPr>
        <w:t xml:space="preserve"> A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suspensão do cumprimento de sentença</w:t>
      </w:r>
      <w:r>
        <w:rPr>
          <w:rFonts w:eastAsia="Times New Roman" w:cs="Arial"/>
          <w:sz w:val="18"/>
          <w:szCs w:val="18"/>
          <w:lang w:eastAsia="pt-BR"/>
        </w:rPr>
        <w:t>, contudo,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condiciona-se à garantia do juízo (art. 525, § 6º, CPC)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45ED6F7B" w14:textId="318A44A1" w:rsidR="0009650F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D3B68">
        <w:rPr>
          <w:rFonts w:eastAsia="Times New Roman" w:cs="Arial"/>
          <w:b/>
          <w:sz w:val="18"/>
          <w:szCs w:val="18"/>
          <w:lang w:eastAsia="pt-BR"/>
        </w:rPr>
        <w:t>2.4.</w:t>
      </w:r>
      <w:r w:rsidR="0009650F" w:rsidRPr="55CBF4EF">
        <w:rPr>
          <w:rFonts w:eastAsia="Times New Roman" w:cs="Arial"/>
          <w:sz w:val="18"/>
          <w:szCs w:val="18"/>
          <w:lang w:eastAsia="pt-BR"/>
        </w:rPr>
        <w:t xml:space="preserve"> </w:t>
      </w:r>
      <w:r w:rsidR="0009650F" w:rsidRPr="68EDE482">
        <w:rPr>
          <w:rFonts w:eastAsia="Times New Roman" w:cs="Arial"/>
          <w:sz w:val="18"/>
          <w:szCs w:val="18"/>
          <w:lang w:eastAsia="pt-BR"/>
        </w:rPr>
        <w:t>Se o pagamento voluntário não for efetuado na data estipulada, será expedido mandado de penhora e avaliação, seguindo-se os atos de expropriação (art. 523, § 3º, CPC).</w:t>
      </w:r>
    </w:p>
    <w:p w14:paraId="0E9247DD" w14:textId="1CDBA993" w:rsidR="00560113" w:rsidRDefault="00560113" w:rsidP="0009650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E845449" w14:textId="7CF9E200" w:rsidR="00560113" w:rsidRPr="00305494" w:rsidRDefault="00560113" w:rsidP="00560113">
      <w:pPr>
        <w:pStyle w:val="SemEspaamento"/>
        <w:rPr>
          <w:rFonts w:cs="Arial"/>
          <w:bCs/>
          <w:sz w:val="18"/>
          <w:szCs w:val="18"/>
        </w:rPr>
      </w:pPr>
      <w:r w:rsidRPr="00ED3B68">
        <w:rPr>
          <w:rFonts w:cs="Arial"/>
          <w:b/>
          <w:sz w:val="18"/>
          <w:szCs w:val="18"/>
        </w:rPr>
        <w:t>3.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05A23616" w14:textId="77777777" w:rsidR="00560113" w:rsidRDefault="00560113" w:rsidP="00560113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</w:p>
    <w:p w14:paraId="3B019AFF" w14:textId="77777777" w:rsidR="00560113" w:rsidRPr="002A0A2D" w:rsidRDefault="00560113" w:rsidP="00560113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47A3FA88" w14:textId="77777777" w:rsidR="00560113" w:rsidRDefault="00560113" w:rsidP="0056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eastAsia="Times New Roman" w:cs="Arial"/>
          <w:sz w:val="18"/>
          <w:szCs w:val="18"/>
        </w:rPr>
        <w:t xml:space="preserve">O(A) Oficial de Justiça </w:t>
      </w:r>
      <w:r w:rsidRPr="00305494"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 w:rsidRPr="00305494">
        <w:rPr>
          <w:rFonts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eastAsia="Times New Roman" w:cs="Arial"/>
          <w:sz w:val="18"/>
          <w:szCs w:val="18"/>
        </w:rPr>
        <w:t>possui outros endereços onde pode ser localizado(a) ou meios para ser contatado(a)</w:t>
      </w:r>
      <w:r>
        <w:rPr>
          <w:rFonts w:eastAsia="Times New Roman" w:cs="Arial"/>
          <w:sz w:val="18"/>
          <w:szCs w:val="18"/>
        </w:rPr>
        <w:t>, assim como</w:t>
      </w:r>
      <w:r w:rsidRPr="00305494">
        <w:rPr>
          <w:rFonts w:eastAsia="Times New Roman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8CF21B3" w14:textId="77777777" w:rsidR="00560113" w:rsidRPr="000B48C6" w:rsidRDefault="00560113" w:rsidP="0056011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D4CB841" w14:textId="77777777" w:rsidR="00560113" w:rsidRDefault="00560113" w:rsidP="0056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§2º, Código de Normas do Foro Judicial do TJPR – Provimento nº 316/2022).</w:t>
      </w:r>
    </w:p>
    <w:p w14:paraId="43456291" w14:textId="77777777" w:rsidR="00560113" w:rsidRPr="000B48C6" w:rsidRDefault="00560113" w:rsidP="0056011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7E31D0E" w14:textId="77777777" w:rsidR="00560113" w:rsidRDefault="00560113" w:rsidP="00ED3B68">
      <w:pPr>
        <w:pStyle w:val="Textodecomentrio"/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D9D28AB" w14:textId="77777777" w:rsidR="00ED3B68" w:rsidRPr="00291036" w:rsidRDefault="00ED3B68" w:rsidP="00ED3B68">
      <w:pPr>
        <w:pStyle w:val="Textodecomentrio"/>
        <w:spacing w:after="0"/>
        <w:jc w:val="both"/>
        <w:rPr>
          <w:rFonts w:ascii="Arial" w:hAnsi="Arial" w:cs="Arial"/>
          <w:sz w:val="18"/>
          <w:szCs w:val="18"/>
        </w:rPr>
      </w:pPr>
    </w:p>
    <w:p w14:paraId="3EDE8DC2" w14:textId="77777777" w:rsidR="00560113" w:rsidRPr="005E22C2" w:rsidRDefault="00560113" w:rsidP="0056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AF125FD" w14:textId="77777777" w:rsidR="00560113" w:rsidRPr="005E22C2" w:rsidRDefault="00560113" w:rsidP="0056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25AC8395" w14:textId="6AFD6D7F" w:rsidR="00FC104C" w:rsidRDefault="00560113" w:rsidP="00ED3B68">
      <w:pPr>
        <w:spacing w:after="0" w:line="240" w:lineRule="auto"/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3D0C" w14:textId="77777777" w:rsidR="0009650F" w:rsidRDefault="0009650F" w:rsidP="0009650F">
      <w:pPr>
        <w:spacing w:after="0" w:line="240" w:lineRule="auto"/>
      </w:pPr>
      <w:r>
        <w:separator/>
      </w:r>
    </w:p>
  </w:endnote>
  <w:endnote w:type="continuationSeparator" w:id="0">
    <w:p w14:paraId="20079EBB" w14:textId="77777777" w:rsidR="0009650F" w:rsidRDefault="0009650F" w:rsidP="0009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355" w14:textId="77777777" w:rsidR="0009650F" w:rsidRDefault="0009650F" w:rsidP="0009650F">
      <w:pPr>
        <w:spacing w:after="0" w:line="240" w:lineRule="auto"/>
      </w:pPr>
      <w:r>
        <w:separator/>
      </w:r>
    </w:p>
  </w:footnote>
  <w:footnote w:type="continuationSeparator" w:id="0">
    <w:p w14:paraId="362C6B28" w14:textId="77777777" w:rsidR="0009650F" w:rsidRDefault="0009650F" w:rsidP="0009650F">
      <w:pPr>
        <w:spacing w:after="0" w:line="240" w:lineRule="auto"/>
      </w:pPr>
      <w:r>
        <w:continuationSeparator/>
      </w:r>
    </w:p>
  </w:footnote>
  <w:footnote w:id="1">
    <w:p w14:paraId="18297A23" w14:textId="43492258" w:rsidR="0009650F" w:rsidRDefault="0009650F" w:rsidP="0009650F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560113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560113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560113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560113">
        <w:rPr>
          <w:rFonts w:eastAsia="Times New Roman" w:cs="Arial"/>
          <w:sz w:val="14"/>
          <w:szCs w:val="14"/>
          <w:lang w:eastAsia="pt-BR"/>
        </w:rPr>
        <w:t xml:space="preserve">. </w:t>
      </w:r>
      <w:r w:rsidR="00560113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560113">
        <w:rPr>
          <w:rFonts w:eastAsia="Times New Roman" w:cs="Arial"/>
          <w:sz w:val="14"/>
          <w:szCs w:val="14"/>
          <w:lang w:eastAsia="pt-BR"/>
        </w:rPr>
        <w:t xml:space="preserve"> </w:t>
      </w:r>
      <w:r w:rsidR="00560113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560113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560113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560113">
        <w:rPr>
          <w:rFonts w:eastAsia="Times New Roman" w:cs="Arial"/>
          <w:sz w:val="14"/>
          <w:szCs w:val="14"/>
          <w:lang w:eastAsia="pt-BR"/>
        </w:rPr>
        <w:t>,</w:t>
      </w:r>
      <w:r w:rsidR="00560113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560113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560113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560113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6997BDFC" w14:textId="2927DB1B" w:rsidR="00560113" w:rsidRDefault="00560113">
      <w:pPr>
        <w:pStyle w:val="Textodenotaderodap"/>
      </w:pPr>
      <w:r w:rsidRPr="00ED3B68">
        <w:rPr>
          <w:rStyle w:val="Refdenotaderodap"/>
          <w:sz w:val="14"/>
          <w:szCs w:val="14"/>
        </w:rPr>
        <w:footnoteRef/>
      </w:r>
      <w:r w:rsidRPr="00ED3B68">
        <w:rPr>
          <w:sz w:val="14"/>
          <w:szCs w:val="14"/>
        </w:rPr>
        <w:t xml:space="preserve"> </w:t>
      </w:r>
      <w:r w:rsidRPr="00F332F4">
        <w:rPr>
          <w:rFonts w:cs="Arial"/>
          <w:sz w:val="14"/>
          <w:szCs w:val="14"/>
        </w:rPr>
        <w:t xml:space="preserve">Código de Normas do Foro Judicial do TJPR (Provimento </w:t>
      </w:r>
      <w:r w:rsidR="007A137A">
        <w:rPr>
          <w:rFonts w:cs="Arial"/>
          <w:sz w:val="14"/>
          <w:szCs w:val="14"/>
        </w:rPr>
        <w:t xml:space="preserve">nº </w:t>
      </w:r>
      <w:r w:rsidRPr="00F332F4">
        <w:rPr>
          <w:rFonts w:cs="Arial"/>
          <w:sz w:val="14"/>
          <w:szCs w:val="14"/>
        </w:rPr>
        <w:t>316/2022): “Art. 235. A intimação para pagamento ou depósito de certa quantia, preparo de conta ou mera ciência de cálculo ou conta deverá sempre expressar o valor</w:t>
      </w:r>
      <w:r w:rsidR="00ED3B68">
        <w:rPr>
          <w:rFonts w:cs="Arial"/>
          <w:sz w:val="14"/>
          <w:szCs w:val="14"/>
        </w:rPr>
        <w:t>.</w:t>
      </w:r>
      <w:r w:rsidRPr="00F332F4">
        <w:rPr>
          <w:rFonts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D8"/>
    <w:rsid w:val="0009650F"/>
    <w:rsid w:val="000F3B17"/>
    <w:rsid w:val="001A6735"/>
    <w:rsid w:val="0023796A"/>
    <w:rsid w:val="00297EC6"/>
    <w:rsid w:val="00415C57"/>
    <w:rsid w:val="0048690C"/>
    <w:rsid w:val="00560113"/>
    <w:rsid w:val="006825D8"/>
    <w:rsid w:val="007A137A"/>
    <w:rsid w:val="007C6896"/>
    <w:rsid w:val="008827DD"/>
    <w:rsid w:val="00BB287B"/>
    <w:rsid w:val="00BC754D"/>
    <w:rsid w:val="00CB1028"/>
    <w:rsid w:val="00E13E71"/>
    <w:rsid w:val="00E50AE6"/>
    <w:rsid w:val="00ED3B68"/>
    <w:rsid w:val="00FC104C"/>
    <w:rsid w:val="4A91F91C"/>
    <w:rsid w:val="55CBF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8F01"/>
  <w15:chartTrackingRefBased/>
  <w15:docId w15:val="{47FFB287-2BC9-4EC1-ABEF-75BB372F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D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8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825D8"/>
  </w:style>
  <w:style w:type="character" w:customStyle="1" w:styleId="eop">
    <w:name w:val="eop"/>
    <w:basedOn w:val="Fontepargpadro"/>
    <w:rsid w:val="006825D8"/>
  </w:style>
  <w:style w:type="character" w:styleId="Hyperlink">
    <w:name w:val="Hyperlink"/>
    <w:basedOn w:val="Fontepargpadro"/>
    <w:uiPriority w:val="99"/>
    <w:semiHidden/>
    <w:unhideWhenUsed/>
    <w:rsid w:val="000F3B1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3B17"/>
    <w:rPr>
      <w:b/>
      <w:bCs/>
    </w:rPr>
  </w:style>
  <w:style w:type="paragraph" w:styleId="NormalWeb">
    <w:name w:val="Normal (Web)"/>
    <w:basedOn w:val="Normal"/>
    <w:uiPriority w:val="99"/>
    <w:unhideWhenUsed/>
    <w:rsid w:val="00E13E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9650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1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113"/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0113"/>
    <w:pPr>
      <w:ind w:left="720"/>
      <w:contextualSpacing/>
    </w:pPr>
  </w:style>
  <w:style w:type="paragraph" w:styleId="SemEspaamento">
    <w:name w:val="No Spacing"/>
    <w:uiPriority w:val="1"/>
    <w:qFormat/>
    <w:rsid w:val="00560113"/>
    <w:pPr>
      <w:spacing w:after="0" w:line="240" w:lineRule="auto"/>
      <w:jc w:val="both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113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113"/>
    <w:rPr>
      <w:sz w:val="20"/>
      <w:szCs w:val="20"/>
    </w:rPr>
  </w:style>
  <w:style w:type="paragraph" w:styleId="Reviso">
    <w:name w:val="Revision"/>
    <w:hidden/>
    <w:uiPriority w:val="99"/>
    <w:semiHidden/>
    <w:rsid w:val="00ED3B6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3D306-2041-43E8-872B-DC3E4FD8405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A68BAF-D347-4385-9D6E-DCAD90F7C5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D0694-8584-4189-9B8E-857A571A5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36F62-0A00-41ED-B5B9-362062307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784</Words>
  <Characters>4237</Characters>
  <Application>Microsoft Office Word</Application>
  <DocSecurity>0</DocSecurity>
  <Lines>35</Lines>
  <Paragraphs>10</Paragraphs>
  <ScaleCrop>false</ScaleCrop>
  <Company>Tribunal de Justiça do Estado do Paraná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14</cp:revision>
  <dcterms:created xsi:type="dcterms:W3CDTF">2021-10-28T16:47:00Z</dcterms:created>
  <dcterms:modified xsi:type="dcterms:W3CDTF">2023-06-19T21:19:00Z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