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C003BB" w:rsidRPr="00034716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03471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34716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003BB" w:rsidRPr="00034716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03471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34716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003BB" w:rsidRPr="00034716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03471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034716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E955D25" w14:textId="77777777" w:rsidR="00C003BB" w:rsidRPr="007B0818" w:rsidRDefault="00735A72" w:rsidP="00735A72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Cs w:val="22"/>
          <w:u w:val="single"/>
        </w:rPr>
      </w:pPr>
      <w:r w:rsidRPr="007B0818">
        <w:rPr>
          <w:rStyle w:val="Forte"/>
          <w:rFonts w:ascii="Arial" w:hAnsi="Arial" w:cs="Arial"/>
          <w:szCs w:val="22"/>
          <w:u w:val="single"/>
        </w:rPr>
        <w:t>FORMAL DE PARTILHA</w:t>
      </w:r>
    </w:p>
    <w:p w14:paraId="5907A235" w14:textId="77777777" w:rsidR="00735A72" w:rsidRPr="00034716" w:rsidRDefault="00CF1B31" w:rsidP="00AE591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sz w:val="18"/>
          <w:szCs w:val="18"/>
        </w:rPr>
      </w:pPr>
      <w:r w:rsidRPr="007B0818">
        <w:rPr>
          <w:rStyle w:val="Forte"/>
          <w:rFonts w:ascii="Arial" w:hAnsi="Arial" w:cs="Arial"/>
          <w:sz w:val="18"/>
          <w:szCs w:val="18"/>
        </w:rPr>
        <w:t>Arrolamento Sumário</w:t>
      </w:r>
      <w:r w:rsidR="00BD6666" w:rsidRPr="00034716">
        <w:rPr>
          <w:rStyle w:val="Refdenotaderodap"/>
          <w:rFonts w:ascii="Arial" w:hAnsi="Arial" w:cs="Arial"/>
          <w:bCs/>
          <w:sz w:val="18"/>
          <w:szCs w:val="18"/>
        </w:rPr>
        <w:footnoteReference w:id="1"/>
      </w:r>
    </w:p>
    <w:p w14:paraId="199CE69A" w14:textId="77777777" w:rsidR="00430EFF" w:rsidRPr="00034716" w:rsidRDefault="00430EFF" w:rsidP="00430EFF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034716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034716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E5910" w:rsidRPr="00034716" w:rsidRDefault="00AE5910" w:rsidP="007B0818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654B63C2" w14:textId="77777777" w:rsidR="00FA1B60" w:rsidRDefault="00AE5910" w:rsidP="6DC010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34716">
        <w:rPr>
          <w:rFonts w:ascii="Arial" w:hAnsi="Arial" w:cs="Arial"/>
          <w:sz w:val="18"/>
          <w:szCs w:val="18"/>
        </w:rPr>
        <w:t>Extraído dos autos acima identificados, para título e conservação de direitos, o(a) Juiz(</w:t>
      </w:r>
      <w:proofErr w:type="spellStart"/>
      <w:r w:rsidRPr="00034716">
        <w:rPr>
          <w:rFonts w:ascii="Arial" w:hAnsi="Arial" w:cs="Arial"/>
          <w:sz w:val="18"/>
          <w:szCs w:val="18"/>
        </w:rPr>
        <w:t>íza</w:t>
      </w:r>
      <w:proofErr w:type="spellEnd"/>
      <w:r w:rsidRPr="00034716">
        <w:rPr>
          <w:rFonts w:ascii="Arial" w:hAnsi="Arial" w:cs="Arial"/>
          <w:sz w:val="18"/>
          <w:szCs w:val="18"/>
        </w:rPr>
        <w:t>) de Direito $!</w:t>
      </w:r>
      <w:proofErr w:type="spellStart"/>
      <w:r w:rsidRPr="00034716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034716">
        <w:rPr>
          <w:rFonts w:ascii="Arial" w:hAnsi="Arial" w:cs="Arial"/>
          <w:sz w:val="18"/>
          <w:szCs w:val="18"/>
        </w:rPr>
        <w:t>().</w:t>
      </w:r>
      <w:proofErr w:type="spellStart"/>
      <w:r w:rsidRPr="00034716">
        <w:rPr>
          <w:rFonts w:ascii="Arial" w:hAnsi="Arial" w:cs="Arial"/>
          <w:sz w:val="18"/>
          <w:szCs w:val="18"/>
        </w:rPr>
        <w:t>getNome</w:t>
      </w:r>
      <w:proofErr w:type="spellEnd"/>
      <w:r w:rsidRPr="00034716">
        <w:rPr>
          <w:rFonts w:ascii="Arial" w:hAnsi="Arial" w:cs="Arial"/>
          <w:sz w:val="18"/>
          <w:szCs w:val="18"/>
        </w:rPr>
        <w:t>(), da $</w:t>
      </w:r>
      <w:proofErr w:type="spellStart"/>
      <w:r w:rsidRPr="00034716">
        <w:rPr>
          <w:rFonts w:ascii="Arial" w:hAnsi="Arial" w:cs="Arial"/>
          <w:sz w:val="18"/>
          <w:szCs w:val="18"/>
        </w:rPr>
        <w:t>vara.getDescricao</w:t>
      </w:r>
      <w:proofErr w:type="spellEnd"/>
      <w:r w:rsidRPr="00034716">
        <w:rPr>
          <w:rFonts w:ascii="Arial" w:hAnsi="Arial" w:cs="Arial"/>
          <w:sz w:val="18"/>
          <w:szCs w:val="18"/>
        </w:rPr>
        <w:t xml:space="preserve">(), Estado do Paraná, que assina </w:t>
      </w:r>
      <w:r w:rsidR="557458A5" w:rsidRPr="00034716">
        <w:rPr>
          <w:rFonts w:ascii="Arial" w:hAnsi="Arial" w:cs="Arial"/>
          <w:sz w:val="18"/>
          <w:szCs w:val="18"/>
        </w:rPr>
        <w:t xml:space="preserve">este documento </w:t>
      </w:r>
      <w:r w:rsidRPr="00034716">
        <w:rPr>
          <w:rFonts w:ascii="Arial" w:hAnsi="Arial" w:cs="Arial"/>
          <w:sz w:val="18"/>
          <w:szCs w:val="18"/>
        </w:rPr>
        <w:t>eletronicamente,</w:t>
      </w:r>
    </w:p>
    <w:p w14:paraId="7E0F3287" w14:textId="5E25A4F9" w:rsidR="00735A72" w:rsidRPr="00034716" w:rsidRDefault="00735A72" w:rsidP="6DC010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6CB7CBC9" w14:textId="163EABEC" w:rsidR="00AE5910" w:rsidRPr="00034716" w:rsidRDefault="00AE5910" w:rsidP="6DC0102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34716">
        <w:rPr>
          <w:rFonts w:ascii="Arial" w:hAnsi="Arial" w:cs="Arial"/>
          <w:b/>
          <w:bCs/>
          <w:sz w:val="18"/>
          <w:szCs w:val="18"/>
        </w:rPr>
        <w:t>FAZ SABER</w:t>
      </w:r>
      <w:r w:rsidRPr="00034716">
        <w:rPr>
          <w:rFonts w:ascii="Arial" w:hAnsi="Arial" w:cs="Arial"/>
          <w:sz w:val="18"/>
          <w:szCs w:val="18"/>
        </w:rPr>
        <w:t xml:space="preserve"> a todos </w:t>
      </w:r>
      <w:r w:rsidR="216733F0" w:rsidRPr="00034716">
        <w:rPr>
          <w:rFonts w:ascii="Arial" w:hAnsi="Arial" w:cs="Arial"/>
          <w:sz w:val="18"/>
          <w:szCs w:val="18"/>
        </w:rPr>
        <w:t xml:space="preserve">que </w:t>
      </w:r>
      <w:r w:rsidR="00D74E44">
        <w:rPr>
          <w:rFonts w:ascii="Arial" w:hAnsi="Arial" w:cs="Arial"/>
          <w:sz w:val="18"/>
          <w:szCs w:val="18"/>
        </w:rPr>
        <w:t>tiverem</w:t>
      </w:r>
      <w:r w:rsidRPr="00034716">
        <w:rPr>
          <w:rFonts w:ascii="Arial" w:hAnsi="Arial" w:cs="Arial"/>
          <w:sz w:val="18"/>
          <w:szCs w:val="18"/>
        </w:rPr>
        <w:t xml:space="preserve"> conhecimento deste </w:t>
      </w:r>
      <w:r w:rsidR="6790F282" w:rsidRPr="00034716">
        <w:rPr>
          <w:rFonts w:ascii="Arial" w:hAnsi="Arial" w:cs="Arial"/>
          <w:sz w:val="18"/>
          <w:szCs w:val="18"/>
        </w:rPr>
        <w:t>documento</w:t>
      </w:r>
      <w:r w:rsidRPr="00034716">
        <w:rPr>
          <w:rFonts w:ascii="Arial" w:hAnsi="Arial" w:cs="Arial"/>
          <w:sz w:val="18"/>
          <w:szCs w:val="18"/>
        </w:rPr>
        <w:t xml:space="preserve"> que</w:t>
      </w:r>
      <w:r w:rsidR="54A1FC51" w:rsidRPr="00034716">
        <w:rPr>
          <w:rFonts w:ascii="Arial" w:hAnsi="Arial" w:cs="Arial"/>
          <w:sz w:val="18"/>
          <w:szCs w:val="18"/>
        </w:rPr>
        <w:t>,</w:t>
      </w:r>
      <w:r w:rsidRPr="00034716">
        <w:rPr>
          <w:rFonts w:ascii="Arial" w:hAnsi="Arial" w:cs="Arial"/>
          <w:sz w:val="18"/>
          <w:szCs w:val="18"/>
        </w:rPr>
        <w:t xml:space="preserve"> perante este Juízo</w:t>
      </w:r>
      <w:r w:rsidR="2E7BF790" w:rsidRPr="00034716">
        <w:rPr>
          <w:rFonts w:ascii="Arial" w:hAnsi="Arial" w:cs="Arial"/>
          <w:sz w:val="18"/>
          <w:szCs w:val="18"/>
        </w:rPr>
        <w:t>,</w:t>
      </w:r>
      <w:r w:rsidRPr="00034716">
        <w:rPr>
          <w:rFonts w:ascii="Arial" w:hAnsi="Arial" w:cs="Arial"/>
          <w:sz w:val="18"/>
          <w:szCs w:val="18"/>
        </w:rPr>
        <w:t xml:space="preserve"> processou-se a demanda acima indicada com a inteira observância das prescrições legais, na qual foi proferida </w:t>
      </w:r>
      <w:r w:rsidRPr="00034716">
        <w:rPr>
          <w:rFonts w:ascii="Arial" w:hAnsi="Arial" w:cs="Arial"/>
          <w:b/>
          <w:bCs/>
          <w:sz w:val="18"/>
          <w:szCs w:val="18"/>
        </w:rPr>
        <w:t>sentença de</w:t>
      </w:r>
      <w:r w:rsidRPr="00034716">
        <w:rPr>
          <w:rFonts w:ascii="Arial" w:hAnsi="Arial" w:cs="Arial"/>
          <w:sz w:val="18"/>
          <w:szCs w:val="18"/>
        </w:rPr>
        <w:t xml:space="preserve"> </w:t>
      </w:r>
      <w:r w:rsidRPr="00034716">
        <w:rPr>
          <w:rFonts w:ascii="Arial" w:hAnsi="Arial" w:cs="Arial"/>
          <w:b/>
          <w:bCs/>
          <w:sz w:val="18"/>
          <w:szCs w:val="18"/>
        </w:rPr>
        <w:t>partilha de bens</w:t>
      </w:r>
      <w:r w:rsidRPr="00034716">
        <w:rPr>
          <w:rFonts w:ascii="Arial" w:hAnsi="Arial" w:cs="Arial"/>
          <w:sz w:val="18"/>
          <w:szCs w:val="18"/>
        </w:rPr>
        <w:t xml:space="preserve">, devidamente transitada em julgado. </w:t>
      </w:r>
    </w:p>
    <w:p w14:paraId="6D65F1B3" w14:textId="723EAE5A" w:rsidR="00AE5910" w:rsidRPr="00034716" w:rsidRDefault="00AE5910" w:rsidP="00AE59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34716">
        <w:rPr>
          <w:rFonts w:ascii="Arial" w:hAnsi="Arial" w:cs="Arial"/>
          <w:sz w:val="18"/>
          <w:szCs w:val="18"/>
        </w:rPr>
        <w:t>Em cumprimento ao disposto no art. 655 do Código de Processo Civil c/c art. 515</w:t>
      </w:r>
      <w:r w:rsidR="00FA1B60">
        <w:rPr>
          <w:rFonts w:ascii="Arial" w:hAnsi="Arial" w:cs="Arial"/>
          <w:sz w:val="18"/>
          <w:szCs w:val="18"/>
        </w:rPr>
        <w:t>,</w:t>
      </w:r>
      <w:r w:rsidR="00991FE6" w:rsidRPr="00034716">
        <w:rPr>
          <w:rFonts w:ascii="Arial" w:hAnsi="Arial" w:cs="Arial"/>
          <w:sz w:val="18"/>
          <w:szCs w:val="18"/>
        </w:rPr>
        <w:t xml:space="preserve"> inc. II,</w:t>
      </w:r>
      <w:r w:rsidRPr="00034716">
        <w:rPr>
          <w:rFonts w:ascii="Arial" w:hAnsi="Arial" w:cs="Arial"/>
          <w:sz w:val="18"/>
          <w:szCs w:val="18"/>
        </w:rPr>
        <w:t xml:space="preserve"> do Código de Normas do Foro Extrajudicial </w:t>
      </w:r>
      <w:r w:rsidR="00FA1B60">
        <w:rPr>
          <w:rFonts w:ascii="Arial" w:hAnsi="Arial" w:cs="Arial"/>
          <w:sz w:val="18"/>
          <w:szCs w:val="18"/>
        </w:rPr>
        <w:t>do</w:t>
      </w:r>
      <w:r w:rsidRPr="00034716">
        <w:rPr>
          <w:rFonts w:ascii="Arial" w:hAnsi="Arial" w:cs="Arial"/>
          <w:sz w:val="18"/>
          <w:szCs w:val="18"/>
        </w:rPr>
        <w:t xml:space="preserve"> TJPR</w:t>
      </w:r>
      <w:r w:rsidR="00FA1B60">
        <w:rPr>
          <w:rFonts w:ascii="Arial" w:hAnsi="Arial" w:cs="Arial"/>
          <w:sz w:val="18"/>
          <w:szCs w:val="18"/>
        </w:rPr>
        <w:t xml:space="preserve"> (Provimento nº 249/2013)</w:t>
      </w:r>
      <w:r w:rsidRPr="00034716">
        <w:rPr>
          <w:rFonts w:ascii="Arial" w:hAnsi="Arial" w:cs="Arial"/>
          <w:sz w:val="18"/>
          <w:szCs w:val="18"/>
        </w:rPr>
        <w:t xml:space="preserve">, e no Ofício-Circular nº 028/2021 DCJ-DMAP, instruem este </w:t>
      </w:r>
      <w:r w:rsidRPr="00034716">
        <w:rPr>
          <w:rFonts w:ascii="Arial" w:hAnsi="Arial" w:cs="Arial"/>
          <w:b/>
          <w:sz w:val="18"/>
          <w:szCs w:val="18"/>
        </w:rPr>
        <w:t>Formal de Partilha</w:t>
      </w:r>
      <w:r w:rsidRPr="00034716">
        <w:rPr>
          <w:rFonts w:ascii="Arial" w:hAnsi="Arial" w:cs="Arial"/>
          <w:sz w:val="18"/>
          <w:szCs w:val="18"/>
        </w:rPr>
        <w:t xml:space="preserve"> os seguintes documentos:</w:t>
      </w:r>
    </w:p>
    <w:p w14:paraId="0714A7FE" w14:textId="69B3991F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Petição inicial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311A0F5F" w14:textId="2A061FCB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Procurações outorgadas pelas partes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5E327100" w14:textId="47FE66F1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Certidão de óbito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7D0ABD37" w14:textId="05C00E3C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Plano de partilha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1558BD37" w14:textId="33EECFBE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Pagamento do quinhão hereditário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0E5A4527" w14:textId="6BA46B7C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Sentença homologatória de partilha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71B98B17" w14:textId="1DBC6E7B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Decisão de deferimento do benefício da assistência judiciária gratuita, se houver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0ED4F40C" w14:textId="60E73707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Termo de renúncia, escritura pública de cessão de direitos hereditários, e auto de adjudicação, assinado pelas partes e pelo juiz, se houver (seq. X</w:t>
      </w:r>
      <w:r w:rsidR="00D74E44">
        <w:rPr>
          <w:rFonts w:ascii="Arial" w:hAnsi="Arial" w:cs="Arial"/>
          <w:color w:val="3300FF"/>
          <w:sz w:val="18"/>
          <w:szCs w:val="18"/>
        </w:rPr>
        <w:t>X</w:t>
      </w:r>
      <w:r w:rsidRPr="00034716">
        <w:rPr>
          <w:rFonts w:ascii="Arial" w:hAnsi="Arial" w:cs="Arial"/>
          <w:color w:val="3300FF"/>
          <w:sz w:val="18"/>
          <w:szCs w:val="18"/>
        </w:rPr>
        <w:t>);</w:t>
      </w:r>
    </w:p>
    <w:p w14:paraId="0C7CEAF6" w14:textId="77777777" w:rsidR="00AE5910" w:rsidRPr="00034716" w:rsidRDefault="00991FE6" w:rsidP="00991FE6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 xml:space="preserve">Comprovação da intimação para o lançamento dos tributos incidentes </w:t>
      </w:r>
      <w:r w:rsidR="00AE5910" w:rsidRPr="00034716">
        <w:rPr>
          <w:rFonts w:ascii="Arial" w:hAnsi="Arial" w:cs="Arial"/>
          <w:color w:val="3300FF"/>
          <w:sz w:val="18"/>
          <w:szCs w:val="18"/>
        </w:rPr>
        <w:t>(seq. XX);</w:t>
      </w:r>
    </w:p>
    <w:p w14:paraId="3C8DC045" w14:textId="5AB6A357" w:rsidR="00AE5910" w:rsidRPr="00034716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034716">
        <w:rPr>
          <w:rFonts w:ascii="Arial" w:hAnsi="Arial" w:cs="Arial"/>
          <w:color w:val="3300FF"/>
          <w:sz w:val="18"/>
          <w:szCs w:val="18"/>
        </w:rPr>
        <w:t>Certidão de transcurso de prazo sem interposição de recurso (trânsito em julgado) (seq. XX)</w:t>
      </w:r>
      <w:r w:rsidR="00D74E44">
        <w:rPr>
          <w:rFonts w:ascii="Arial" w:hAnsi="Arial" w:cs="Arial"/>
          <w:color w:val="3300FF"/>
          <w:sz w:val="18"/>
          <w:szCs w:val="18"/>
        </w:rPr>
        <w:t>.</w:t>
      </w:r>
    </w:p>
    <w:p w14:paraId="5DAB6C7B" w14:textId="77777777" w:rsidR="00646FD9" w:rsidRPr="00034716" w:rsidRDefault="00646FD9" w:rsidP="006B78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C4156EF" w14:textId="77777777" w:rsidR="007F2836" w:rsidRPr="009134B4" w:rsidRDefault="007F2836" w:rsidP="007F2836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18"/>
          <w:szCs w:val="18"/>
        </w:rPr>
      </w:pPr>
      <w:bookmarkStart w:id="0" w:name="_Hlk138445557"/>
      <w:r w:rsidRPr="009A00EC">
        <w:rPr>
          <w:rFonts w:ascii="Arial" w:hAnsi="Arial" w:cs="Arial"/>
          <w:sz w:val="18"/>
          <w:szCs w:val="18"/>
        </w:rPr>
        <w:t>Consi</w:t>
      </w:r>
      <w:r>
        <w:rPr>
          <w:rFonts w:ascii="Arial" w:hAnsi="Arial" w:cs="Arial"/>
          <w:sz w:val="18"/>
          <w:szCs w:val="18"/>
        </w:rPr>
        <w:t xml:space="preserve">derando o procedimento de remessa dos autos via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>
        <w:rPr>
          <w:rFonts w:ascii="Arial" w:hAnsi="Arial" w:cs="Arial"/>
          <w:sz w:val="18"/>
          <w:szCs w:val="18"/>
        </w:rPr>
        <w:t xml:space="preserve">, conforme determinado pela </w:t>
      </w:r>
      <w:r w:rsidRPr="00CF7DB5">
        <w:rPr>
          <w:rFonts w:ascii="Arial" w:hAnsi="Arial" w:cs="Arial"/>
          <w:sz w:val="18"/>
          <w:szCs w:val="18"/>
        </w:rPr>
        <w:t xml:space="preserve">Instrução Normativa </w:t>
      </w:r>
      <w:r w:rsidRPr="009A00EC">
        <w:rPr>
          <w:rFonts w:ascii="Arial" w:hAnsi="Arial" w:cs="Arial"/>
          <w:sz w:val="18"/>
          <w:szCs w:val="18"/>
        </w:rPr>
        <w:t xml:space="preserve">Conjunta nº 136/2023-GCJ/GC, os anexos mencionados acima poderão ser consultados pelo(a) Oficial, Tabelião(ã), Notário(a) ou Registrador(a) diretamente no processo. </w:t>
      </w:r>
    </w:p>
    <w:p w14:paraId="31B0F10E" w14:textId="77777777" w:rsidR="007F2836" w:rsidRPr="009134B4" w:rsidRDefault="007F2836" w:rsidP="007F28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Tendo em vista o segredo de justiça atribuíd</w:t>
      </w:r>
      <w:r>
        <w:rPr>
          <w:rFonts w:ascii="Arial" w:hAnsi="Arial" w:cs="Arial"/>
          <w:sz w:val="18"/>
          <w:szCs w:val="18"/>
        </w:rPr>
        <w:t>o</w:t>
      </w:r>
      <w:r w:rsidRPr="009134B4">
        <w:rPr>
          <w:rFonts w:ascii="Arial" w:hAnsi="Arial" w:cs="Arial"/>
          <w:sz w:val="18"/>
          <w:szCs w:val="18"/>
        </w:rPr>
        <w:t xml:space="preserve"> à natureza familiar da demanda, cabe aos notários e registradores observar rigorosamente os </w:t>
      </w:r>
      <w:proofErr w:type="spellStart"/>
      <w:r w:rsidRPr="009134B4">
        <w:rPr>
          <w:rFonts w:ascii="Arial" w:hAnsi="Arial" w:cs="Arial"/>
          <w:sz w:val="18"/>
          <w:szCs w:val="18"/>
        </w:rPr>
        <w:t>arts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. 22 a 24 da Lei nº </w:t>
      </w:r>
      <w:r>
        <w:rPr>
          <w:rFonts w:ascii="Arial" w:hAnsi="Arial" w:cs="Arial"/>
          <w:sz w:val="18"/>
          <w:szCs w:val="18"/>
        </w:rPr>
        <w:t>8</w:t>
      </w:r>
      <w:r w:rsidRPr="009134B4">
        <w:rPr>
          <w:rFonts w:ascii="Arial" w:hAnsi="Arial" w:cs="Arial"/>
          <w:sz w:val="18"/>
          <w:szCs w:val="18"/>
        </w:rPr>
        <w:t>.935/1994</w:t>
      </w:r>
      <w:r w:rsidRPr="009134B4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9134B4">
        <w:rPr>
          <w:rFonts w:ascii="Arial" w:hAnsi="Arial" w:cs="Arial"/>
          <w:sz w:val="18"/>
          <w:szCs w:val="18"/>
        </w:rPr>
        <w:t>.</w:t>
      </w:r>
    </w:p>
    <w:p w14:paraId="6C1C84F1" w14:textId="77777777" w:rsidR="007F2836" w:rsidRPr="009134B4" w:rsidRDefault="007F2836" w:rsidP="007F28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Eu, $</w:t>
      </w:r>
      <w:proofErr w:type="spellStart"/>
      <w:r w:rsidRPr="009134B4">
        <w:rPr>
          <w:rFonts w:ascii="Arial" w:hAnsi="Arial" w:cs="Arial"/>
          <w:sz w:val="18"/>
          <w:szCs w:val="18"/>
        </w:rPr>
        <w:t>logon.getNome</w:t>
      </w:r>
      <w:proofErr w:type="spellEnd"/>
      <w:r w:rsidRPr="009134B4">
        <w:rPr>
          <w:rFonts w:ascii="Arial" w:hAnsi="Arial" w:cs="Arial"/>
          <w:sz w:val="18"/>
          <w:szCs w:val="18"/>
        </w:rPr>
        <w:t>(), $</w:t>
      </w:r>
      <w:proofErr w:type="spellStart"/>
      <w:r w:rsidRPr="009134B4">
        <w:rPr>
          <w:rFonts w:ascii="Arial" w:hAnsi="Arial" w:cs="Arial"/>
          <w:sz w:val="18"/>
          <w:szCs w:val="18"/>
        </w:rPr>
        <w:t>logon.getGrupo</w:t>
      </w:r>
      <w:proofErr w:type="spellEnd"/>
      <w:r w:rsidRPr="009134B4">
        <w:rPr>
          <w:rFonts w:ascii="Arial" w:hAnsi="Arial" w:cs="Arial"/>
          <w:sz w:val="18"/>
          <w:szCs w:val="18"/>
        </w:rPr>
        <w:t>().</w:t>
      </w:r>
      <w:proofErr w:type="spellStart"/>
      <w:r w:rsidRPr="009134B4">
        <w:rPr>
          <w:rFonts w:ascii="Arial" w:hAnsi="Arial" w:cs="Arial"/>
          <w:sz w:val="18"/>
          <w:szCs w:val="18"/>
        </w:rPr>
        <w:t>getDescricao</w:t>
      </w:r>
      <w:proofErr w:type="spellEnd"/>
      <w:r w:rsidRPr="009134B4">
        <w:rPr>
          <w:rFonts w:ascii="Arial" w:hAnsi="Arial" w:cs="Arial"/>
          <w:sz w:val="18"/>
          <w:szCs w:val="18"/>
        </w:rPr>
        <w:t>(), conferi e digitei.</w:t>
      </w:r>
    </w:p>
    <w:p w14:paraId="1D25101B" w14:textId="77777777" w:rsidR="007F2836" w:rsidRPr="009134B4" w:rsidRDefault="007F2836" w:rsidP="007F283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1E7ADB5" w14:textId="77777777" w:rsidR="007F2836" w:rsidRDefault="007F2836" w:rsidP="007F2836">
      <w:pPr>
        <w:spacing w:after="0" w:line="240" w:lineRule="auto"/>
        <w:jc w:val="center"/>
        <w:rPr>
          <w:rStyle w:val="Forte"/>
          <w:rFonts w:eastAsia="Times New Roman" w:cs="Arial"/>
          <w:sz w:val="14"/>
          <w:szCs w:val="14"/>
          <w:lang w:eastAsia="pt-BR"/>
        </w:rPr>
      </w:pPr>
      <w:r w:rsidRPr="00FB19D6">
        <w:rPr>
          <w:rStyle w:val="Forte"/>
          <w:rFonts w:eastAsia="Times New Roman" w:cs="Arial"/>
          <w:sz w:val="14"/>
          <w:szCs w:val="14"/>
          <w:lang w:eastAsia="pt-BR"/>
        </w:rPr>
        <w:t>$assinaturaJuizDireito2</w:t>
      </w:r>
    </w:p>
    <w:p w14:paraId="6A05A809" w14:textId="0E3A6B1C" w:rsidR="00FC104C" w:rsidRPr="007B0818" w:rsidRDefault="007F2836" w:rsidP="00283092">
      <w:pPr>
        <w:spacing w:after="0" w:line="240" w:lineRule="auto"/>
        <w:jc w:val="center"/>
        <w:rPr>
          <w:sz w:val="14"/>
          <w:szCs w:val="14"/>
        </w:rPr>
      </w:pPr>
      <w:r w:rsidRPr="006E3B4F">
        <w:rPr>
          <w:rFonts w:eastAsia="Times New Roman" w:cs="Arial"/>
          <w:i/>
          <w:iCs/>
          <w:sz w:val="14"/>
          <w:szCs w:val="14"/>
          <w:lang w:eastAsia="pt-BR"/>
        </w:rPr>
        <w:t>(assinado eletronicamente)</w:t>
      </w:r>
      <w:bookmarkEnd w:id="0"/>
    </w:p>
    <w:sectPr w:rsidR="00FC104C" w:rsidRPr="007B08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E377F5" w:rsidRDefault="00E377F5" w:rsidP="00E377F5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377F5" w:rsidRDefault="00E377F5" w:rsidP="00E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E377F5" w:rsidRDefault="00E377F5" w:rsidP="00E377F5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377F5" w:rsidRDefault="00E377F5" w:rsidP="00E377F5">
      <w:pPr>
        <w:spacing w:after="0" w:line="240" w:lineRule="auto"/>
      </w:pPr>
      <w:r>
        <w:continuationSeparator/>
      </w:r>
    </w:p>
  </w:footnote>
  <w:footnote w:id="1">
    <w:p w14:paraId="14F4ED51" w14:textId="4C923B50" w:rsidR="00BD6666" w:rsidRPr="007B0818" w:rsidRDefault="00BD6666" w:rsidP="008960B6">
      <w:pPr>
        <w:pStyle w:val="Textodenotaderodap"/>
        <w:jc w:val="both"/>
        <w:rPr>
          <w:sz w:val="14"/>
          <w:szCs w:val="14"/>
        </w:rPr>
      </w:pPr>
      <w:r w:rsidRPr="007B0818">
        <w:rPr>
          <w:rStyle w:val="Refdenotaderodap"/>
          <w:sz w:val="14"/>
          <w:szCs w:val="14"/>
        </w:rPr>
        <w:footnoteRef/>
      </w:r>
      <w:r w:rsidRPr="007B0818">
        <w:rPr>
          <w:sz w:val="14"/>
          <w:szCs w:val="14"/>
        </w:rPr>
        <w:t xml:space="preserve"> Código de Processo Civil: “Art. 660. Na petição de inventário, que se processará na forma de arrolamento sumário, independentemente da lavratura de termos de qualquer espécie, os herdeiros:</w:t>
      </w:r>
      <w:r w:rsidR="008960B6" w:rsidRPr="007B0818">
        <w:rPr>
          <w:sz w:val="14"/>
          <w:szCs w:val="14"/>
        </w:rPr>
        <w:t xml:space="preserve"> </w:t>
      </w:r>
      <w:r w:rsidRPr="007B0818">
        <w:rPr>
          <w:sz w:val="14"/>
          <w:szCs w:val="14"/>
        </w:rPr>
        <w:t>I - requererão ao juiz a nomeação do inventariante que designarem;</w:t>
      </w:r>
      <w:r w:rsidR="008960B6" w:rsidRPr="007B0818">
        <w:rPr>
          <w:sz w:val="14"/>
          <w:szCs w:val="14"/>
        </w:rPr>
        <w:t xml:space="preserve"> </w:t>
      </w:r>
      <w:r w:rsidRPr="007B0818">
        <w:rPr>
          <w:sz w:val="14"/>
          <w:szCs w:val="14"/>
        </w:rPr>
        <w:t>II - declararão os títulos dos herdeiros e os bens do espólio, o</w:t>
      </w:r>
      <w:r w:rsidR="008960B6" w:rsidRPr="007B0818">
        <w:rPr>
          <w:sz w:val="14"/>
          <w:szCs w:val="14"/>
        </w:rPr>
        <w:t>bservado o disposto no art. 630</w:t>
      </w:r>
      <w:r w:rsidRPr="007B0818">
        <w:rPr>
          <w:sz w:val="14"/>
          <w:szCs w:val="14"/>
        </w:rPr>
        <w:t>;</w:t>
      </w:r>
      <w:r w:rsidR="008960B6" w:rsidRPr="007B0818">
        <w:rPr>
          <w:sz w:val="14"/>
          <w:szCs w:val="14"/>
        </w:rPr>
        <w:t xml:space="preserve"> </w:t>
      </w:r>
      <w:r w:rsidRPr="007B0818">
        <w:rPr>
          <w:sz w:val="14"/>
          <w:szCs w:val="14"/>
        </w:rPr>
        <w:t>III - atribuirão valor aos bens do espólio, para fins de partilha.</w:t>
      </w:r>
      <w:r w:rsidR="008960B6" w:rsidRPr="007B0818">
        <w:rPr>
          <w:sz w:val="14"/>
          <w:szCs w:val="14"/>
        </w:rPr>
        <w:t>”</w:t>
      </w:r>
      <w:r w:rsidR="00FA1B60" w:rsidRPr="007B0818">
        <w:rPr>
          <w:sz w:val="14"/>
          <w:szCs w:val="14"/>
        </w:rPr>
        <w:t>.</w:t>
      </w:r>
    </w:p>
  </w:footnote>
  <w:footnote w:id="2">
    <w:p w14:paraId="318FE1CD" w14:textId="77777777" w:rsidR="007F2836" w:rsidRPr="00E377F5" w:rsidRDefault="007F2836" w:rsidP="007F2836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FB19D6">
        <w:rPr>
          <w:rStyle w:val="Refdenotaderodap"/>
          <w:sz w:val="14"/>
          <w:szCs w:val="14"/>
        </w:rPr>
        <w:footnoteRef/>
      </w:r>
      <w:r w:rsidRPr="00FB19D6">
        <w:rPr>
          <w:sz w:val="14"/>
          <w:szCs w:val="14"/>
        </w:rPr>
        <w:t xml:space="preserve"> </w:t>
      </w:r>
      <w:r>
        <w:rPr>
          <w:sz w:val="14"/>
          <w:szCs w:val="14"/>
        </w:rPr>
        <w:t>Lei nº 8</w:t>
      </w:r>
      <w:r w:rsidRPr="00FB19D6">
        <w:rPr>
          <w:sz w:val="14"/>
          <w:szCs w:val="14"/>
        </w:rPr>
        <w:t>.935/1994: “</w:t>
      </w:r>
      <w:r w:rsidRPr="00FB19D6">
        <w:rPr>
          <w:rFonts w:cs="Arial"/>
          <w:iCs/>
          <w:sz w:val="14"/>
          <w:szCs w:val="14"/>
        </w:rPr>
        <w:t>Art. 22. Os notários e oficiais de registro são civilmente responsáveis por todos os prejuízos que causarem a terceiros, por culpa ou dolo, pessoalmente, pelos substitutos que designarem ou escreventes que autorizarem, assegurado o direito de regresso. Parágrafo único. Prescreve em três anos a pretensão de reparação civil, contado o prazo da data de lavratura do ato registral ou notarial. Art. 23. A responsabilidade civil independe da criminal. Art. 24. A responsabilidade criminal será individualizada, aplicando-se, no que couber, a legislação relativa aos crimes contra a administração pública. Parágrafo único. A individualização prevista no caput não exime os notários e os oficiais de registro de sua responsabilidade civil.”.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DE5"/>
    <w:multiLevelType w:val="hybridMultilevel"/>
    <w:tmpl w:val="50A8D752"/>
    <w:lvl w:ilvl="0" w:tplc="04160011">
      <w:start w:val="1"/>
      <w:numFmt w:val="decimal"/>
      <w:lvlText w:val="%1)"/>
      <w:lvlJc w:val="left"/>
      <w:pPr>
        <w:ind w:left="5321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3A4B"/>
    <w:multiLevelType w:val="hybridMultilevel"/>
    <w:tmpl w:val="2E5252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09D"/>
    <w:multiLevelType w:val="hybridMultilevel"/>
    <w:tmpl w:val="5452305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64A82"/>
    <w:multiLevelType w:val="hybridMultilevel"/>
    <w:tmpl w:val="ABD82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D065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1575">
    <w:abstractNumId w:val="3"/>
  </w:num>
  <w:num w:numId="2" w16cid:durableId="1719815679">
    <w:abstractNumId w:val="2"/>
  </w:num>
  <w:num w:numId="3" w16cid:durableId="625309089">
    <w:abstractNumId w:val="1"/>
  </w:num>
  <w:num w:numId="4" w16cid:durableId="182099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72"/>
    <w:rsid w:val="00034716"/>
    <w:rsid w:val="000F3482"/>
    <w:rsid w:val="0023796A"/>
    <w:rsid w:val="00283092"/>
    <w:rsid w:val="0034539D"/>
    <w:rsid w:val="00430EFF"/>
    <w:rsid w:val="0048532D"/>
    <w:rsid w:val="005128DB"/>
    <w:rsid w:val="00516BDF"/>
    <w:rsid w:val="00544ED8"/>
    <w:rsid w:val="00627292"/>
    <w:rsid w:val="00646FD9"/>
    <w:rsid w:val="006B780A"/>
    <w:rsid w:val="006F3514"/>
    <w:rsid w:val="0070152B"/>
    <w:rsid w:val="00735A72"/>
    <w:rsid w:val="007B0818"/>
    <w:rsid w:val="007F2836"/>
    <w:rsid w:val="0086655E"/>
    <w:rsid w:val="008960B6"/>
    <w:rsid w:val="008C12BB"/>
    <w:rsid w:val="008D3983"/>
    <w:rsid w:val="00991FE6"/>
    <w:rsid w:val="00AE5910"/>
    <w:rsid w:val="00B11318"/>
    <w:rsid w:val="00BB0328"/>
    <w:rsid w:val="00BD6666"/>
    <w:rsid w:val="00BE4CFB"/>
    <w:rsid w:val="00C003BB"/>
    <w:rsid w:val="00CB1028"/>
    <w:rsid w:val="00CC4254"/>
    <w:rsid w:val="00CF1B31"/>
    <w:rsid w:val="00D17C14"/>
    <w:rsid w:val="00D63F63"/>
    <w:rsid w:val="00D74E44"/>
    <w:rsid w:val="00E377F5"/>
    <w:rsid w:val="00E53202"/>
    <w:rsid w:val="00F02BDB"/>
    <w:rsid w:val="00FA1B60"/>
    <w:rsid w:val="00FC104C"/>
    <w:rsid w:val="216733F0"/>
    <w:rsid w:val="2E7BF790"/>
    <w:rsid w:val="32A4E4AA"/>
    <w:rsid w:val="54A1FC51"/>
    <w:rsid w:val="557458A5"/>
    <w:rsid w:val="6790F282"/>
    <w:rsid w:val="6DC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2121"/>
  <w15:chartTrackingRefBased/>
  <w15:docId w15:val="{84907949-9F05-43B0-B05A-859E1E8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35A72"/>
  </w:style>
  <w:style w:type="character" w:styleId="Forte">
    <w:name w:val="Strong"/>
    <w:basedOn w:val="Fontepargpadro"/>
    <w:uiPriority w:val="22"/>
    <w:qFormat/>
    <w:rsid w:val="00735A7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7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7F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7F5"/>
    <w:rPr>
      <w:vertAlign w:val="superscript"/>
    </w:rPr>
  </w:style>
  <w:style w:type="paragraph" w:styleId="Reviso">
    <w:name w:val="Revision"/>
    <w:hidden/>
    <w:uiPriority w:val="99"/>
    <w:semiHidden/>
    <w:rsid w:val="007F283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67B3-F63F-4D0B-9B58-21D7AE4EA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55018-EE16-47F8-ACF7-784E19792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E823B-0934-46B5-872D-8915981989DF}">
  <ds:schemaRefs>
    <ds:schemaRef ds:uri="http://schemas.openxmlformats.org/package/2006/metadata/core-properties"/>
    <ds:schemaRef ds:uri="http://purl.org/dc/terms/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737BCE-25B6-4AF0-B3B2-5212A71C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1778</Characters>
  <Application>Microsoft Office Word</Application>
  <DocSecurity>0</DocSecurity>
  <Lines>14</Lines>
  <Paragraphs>4</Paragraphs>
  <ScaleCrop>false</ScaleCrop>
  <Company>Tribunal de Justiça do Estado do Paraná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 Foltran</cp:lastModifiedBy>
  <cp:revision>18</cp:revision>
  <dcterms:created xsi:type="dcterms:W3CDTF">2021-11-03T18:27:00Z</dcterms:created>
  <dcterms:modified xsi:type="dcterms:W3CDTF">2023-06-27T19:14:00Z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