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6519F" w14:textId="77777777" w:rsidR="00953928" w:rsidRPr="00483C47" w:rsidRDefault="00953928" w:rsidP="00953928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E007E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007E6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007E6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F061270" w14:textId="77777777" w:rsidR="00953928" w:rsidRPr="00483C47" w:rsidRDefault="00953928" w:rsidP="00953928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483C4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6FE05B7" w14:textId="77777777" w:rsidR="00953928" w:rsidRPr="00483C47" w:rsidRDefault="00953928" w:rsidP="00953928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483C4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953928" w:rsidRPr="00483C47" w14:paraId="7383EA81" w14:textId="77777777" w:rsidTr="009539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E0BB5" w14:textId="5FAE86D0" w:rsidR="00953928" w:rsidRPr="00483C47" w:rsidRDefault="00953928" w:rsidP="00953928">
            <w:pPr>
              <w:spacing w:after="0" w:line="240" w:lineRule="auto"/>
              <w:jc w:val="left"/>
              <w:divId w:val="1616063176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9F2B8E" w:rsidRPr="00483C47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483C4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483C4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83C4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483C4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483C4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483C47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53928" w:rsidRPr="00483C47" w14:paraId="6CAD30EC" w14:textId="77777777" w:rsidTr="009539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84935" w14:textId="77777777" w:rsidR="00953928" w:rsidRPr="00483C47" w:rsidRDefault="00953928" w:rsidP="00953928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83C47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483C47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4B3AB031" w14:textId="0E679ABC" w:rsidR="00953928" w:rsidRPr="00483C47" w:rsidRDefault="001E7604" w:rsidP="0095392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483C47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483C47">
        <w:rPr>
          <w:rFonts w:cs="Arial"/>
          <w:b/>
          <w:bCs/>
          <w:color w:val="000000"/>
          <w:u w:val="single"/>
          <w:shd w:val="clear" w:color="auto" w:fill="FFFFFF"/>
        </w:rPr>
        <w:t>cumprimentoCart</w:t>
      </w:r>
      <w:bookmarkStart w:id="0" w:name="_GoBack"/>
      <w:bookmarkEnd w:id="0"/>
      <w:r w:rsidRPr="00483C47">
        <w:rPr>
          <w:rFonts w:cs="Arial"/>
          <w:b/>
          <w:bCs/>
          <w:color w:val="000000"/>
          <w:u w:val="single"/>
          <w:shd w:val="clear" w:color="auto" w:fill="FFFFFF"/>
        </w:rPr>
        <w:t>orio.getTipoCumprimentoCartorio</w:t>
      </w:r>
      <w:proofErr w:type="spellEnd"/>
      <w:r w:rsidRPr="00483C47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483C47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483C47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953928" w:rsidRPr="00483C47">
        <w:rPr>
          <w:rFonts w:eastAsia="Times New Roman" w:cs="Arial"/>
          <w:sz w:val="24"/>
          <w:szCs w:val="24"/>
          <w:lang w:eastAsia="pt-BR"/>
        </w:rPr>
        <w:br/>
      </w:r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2586155A" w14:textId="77777777" w:rsidR="00953928" w:rsidRPr="00483C47" w:rsidRDefault="00953928" w:rsidP="0095392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3EDF776" w14:textId="77777777" w:rsidR="00953928" w:rsidRPr="00483C47" w:rsidRDefault="00953928" w:rsidP="0095392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7B3B3491" w14:textId="77777777" w:rsidR="00953928" w:rsidRPr="00483C47" w:rsidRDefault="00953928" w:rsidP="0095392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483C47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483C47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483C47">
        <w:rPr>
          <w:rFonts w:eastAsia="Times New Roman" w:cs="Arial"/>
          <w:sz w:val="18"/>
          <w:szCs w:val="18"/>
          <w:lang w:eastAsia="pt-BR"/>
        </w:rPr>
        <w:t>.</w:t>
      </w:r>
    </w:p>
    <w:p w14:paraId="295CA28D" w14:textId="77777777" w:rsidR="00953928" w:rsidRPr="00483C47" w:rsidRDefault="00953928" w:rsidP="0095392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483C47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23543D9D" w14:textId="77777777" w:rsidR="006213D2" w:rsidRPr="00483C47" w:rsidRDefault="006213D2" w:rsidP="00953928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AE9B462" w14:textId="77777777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483C47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3D6F13C9" w14:textId="77777777" w:rsidR="006213D2" w:rsidRPr="00483C47" w:rsidRDefault="006213D2" w:rsidP="00953928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61D4C912" w14:textId="1F6E64B2" w:rsidR="00953928" w:rsidRPr="00483C47" w:rsidRDefault="00953928" w:rsidP="0095392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OBJETO: </w:t>
      </w:r>
      <w:r w:rsidR="006213D2" w:rsidRPr="00483C47">
        <w:rPr>
          <w:rFonts w:eastAsia="Times New Roman" w:cs="Arial"/>
          <w:sz w:val="18"/>
          <w:szCs w:val="18"/>
          <w:lang w:eastAsia="pt-BR"/>
        </w:rPr>
        <w:t>PROCEDER à:</w:t>
      </w:r>
    </w:p>
    <w:p w14:paraId="27034D9A" w14:textId="2E4B8B91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="00953928" w:rsidRPr="00483C47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REINTEGRAÇÃO DE POSSE</w:t>
      </w:r>
      <w:r w:rsidR="00953928" w:rsidRPr="00483C47">
        <w:rPr>
          <w:rFonts w:eastAsia="Times New Roman" w:cs="Arial"/>
          <w:sz w:val="18"/>
          <w:szCs w:val="18"/>
          <w:lang w:eastAsia="pt-BR"/>
        </w:rPr>
        <w:t xml:space="preserve"> do seguinte bem: [</w:t>
      </w:r>
      <w:r w:rsidR="00953928" w:rsidRPr="00483C47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INSERIR DESCRIÇÃO </w:t>
      </w:r>
      <w:proofErr w:type="gramStart"/>
      <w:r w:rsidR="00953928" w:rsidRPr="00483C47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DO(</w:t>
      </w:r>
      <w:proofErr w:type="gramEnd"/>
      <w:r w:rsidR="00953928" w:rsidRPr="00483C47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S) BEM(NS)</w:t>
      </w:r>
      <w:r w:rsidR="00953928" w:rsidRPr="00483C47">
        <w:rPr>
          <w:rFonts w:eastAsia="Times New Roman" w:cs="Arial"/>
          <w:sz w:val="18"/>
          <w:szCs w:val="18"/>
          <w:lang w:eastAsia="pt-BR"/>
        </w:rPr>
        <w:t>], ao endereço [</w:t>
      </w:r>
      <w:r w:rsidR="00953928" w:rsidRPr="00483C47">
        <w:rPr>
          <w:rFonts w:eastAsia="Times New Roman" w:cs="Arial"/>
          <w:color w:val="3300FF"/>
          <w:sz w:val="18"/>
          <w:szCs w:val="18"/>
          <w:lang w:eastAsia="pt-BR"/>
        </w:rPr>
        <w:t>inserir endereço de cumprimento da reintegração</w:t>
      </w:r>
      <w:r w:rsidR="00953928" w:rsidRPr="00483C47">
        <w:rPr>
          <w:rFonts w:eastAsia="Times New Roman" w:cs="Arial"/>
          <w:sz w:val="18"/>
          <w:szCs w:val="18"/>
          <w:lang w:eastAsia="pt-BR"/>
        </w:rPr>
        <w:t>], depositando o bem junto à parte autora, nos termos do art. 562 do Código de Processo Civil.</w:t>
      </w:r>
    </w:p>
    <w:p w14:paraId="2DA32C50" w14:textId="77777777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C1B8AD4" w14:textId="6CE23D43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="00953928" w:rsidRPr="00483C47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953928" w:rsidRPr="00483C47">
        <w:rPr>
          <w:rFonts w:eastAsia="Times New Roman" w:cs="Arial"/>
          <w:sz w:val="18"/>
          <w:szCs w:val="18"/>
          <w:lang w:eastAsia="pt-BR"/>
        </w:rPr>
        <w:t> da parte ré indicada do inteiro teor da petição inicial</w:t>
      </w:r>
      <w:r w:rsidRPr="00483C47">
        <w:rPr>
          <w:rFonts w:eastAsia="Times New Roman" w:cs="Arial"/>
          <w:sz w:val="18"/>
          <w:szCs w:val="18"/>
          <w:lang w:eastAsia="pt-BR"/>
        </w:rPr>
        <w:t>.</w:t>
      </w:r>
    </w:p>
    <w:p w14:paraId="441EDA15" w14:textId="77777777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CD43CD3" w14:textId="3E5514AC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3.</w:t>
      </w:r>
      <w:r w:rsidR="00953928"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483C47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à(</w:t>
      </w:r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>s) parte(s) de que:</w:t>
      </w:r>
    </w:p>
    <w:p w14:paraId="24508885" w14:textId="62F2045A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3.1.</w:t>
      </w:r>
      <w:r w:rsidR="00953928" w:rsidRPr="00483C47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P</w:t>
      </w:r>
      <w:r w:rsidR="1B30806B" w:rsidRPr="00483C47">
        <w:rPr>
          <w:rFonts w:eastAsia="Times New Roman" w:cs="Arial"/>
          <w:sz w:val="18"/>
          <w:szCs w:val="18"/>
          <w:lang w:eastAsia="pt-BR"/>
        </w:rPr>
        <w:t>oderá</w:t>
      </w:r>
      <w:r w:rsidRPr="00483C47">
        <w:rPr>
          <w:rFonts w:eastAsia="Times New Roman" w:cs="Arial"/>
          <w:sz w:val="18"/>
          <w:szCs w:val="18"/>
          <w:lang w:eastAsia="pt-BR"/>
        </w:rPr>
        <w:t>(</w:t>
      </w:r>
      <w:proofErr w:type="spellStart"/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>ão</w:t>
      </w:r>
      <w:proofErr w:type="spellEnd"/>
      <w:r w:rsidRPr="00483C47">
        <w:rPr>
          <w:rFonts w:eastAsia="Times New Roman" w:cs="Arial"/>
          <w:sz w:val="18"/>
          <w:szCs w:val="18"/>
          <w:lang w:eastAsia="pt-BR"/>
        </w:rPr>
        <w:t>)</w:t>
      </w:r>
      <w:r w:rsidR="1B30806B" w:rsidRPr="00483C47">
        <w:rPr>
          <w:rFonts w:eastAsia="Times New Roman" w:cs="Arial"/>
          <w:sz w:val="18"/>
          <w:szCs w:val="18"/>
          <w:lang w:eastAsia="pt-BR"/>
        </w:rPr>
        <w:t xml:space="preserve"> apresentar resposta,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no </w:t>
      </w: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prazo de 15 (quinze) dias úteis</w:t>
      </w:r>
      <w:r w:rsidRPr="00483C47">
        <w:rPr>
          <w:rFonts w:eastAsia="Times New Roman" w:cs="Arial"/>
          <w:sz w:val="18"/>
          <w:szCs w:val="18"/>
          <w:lang w:eastAsia="pt-BR"/>
        </w:rPr>
        <w:t>,</w:t>
      </w:r>
      <w:r w:rsidR="1B30806B" w:rsidRPr="00483C47">
        <w:rPr>
          <w:rFonts w:eastAsia="Times New Roman" w:cs="Arial"/>
          <w:sz w:val="18"/>
          <w:szCs w:val="18"/>
          <w:lang w:eastAsia="pt-BR"/>
        </w:rPr>
        <w:t xml:space="preserve"> por meio advogado(a) devidamente constituído(a)</w:t>
      </w:r>
      <w:r w:rsidRPr="00483C47">
        <w:rPr>
          <w:rFonts w:eastAsia="Times New Roman" w:cs="Arial"/>
          <w:sz w:val="18"/>
          <w:szCs w:val="18"/>
          <w:lang w:eastAsia="pt-BR"/>
        </w:rPr>
        <w:t>;</w:t>
      </w:r>
      <w:r w:rsidR="1B30806B" w:rsidRPr="00483C4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22A77EF" w14:textId="5B040ECD" w:rsidR="00953928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>3.2.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</w:t>
      </w:r>
      <w:r w:rsidR="41AF8727" w:rsidRPr="00483C47">
        <w:rPr>
          <w:rFonts w:eastAsia="Times New Roman" w:cs="Arial"/>
          <w:sz w:val="18"/>
          <w:szCs w:val="18"/>
          <w:lang w:eastAsia="pt-BR"/>
        </w:rPr>
        <w:t xml:space="preserve">A </w:t>
      </w:r>
      <w:r w:rsidR="00953928" w:rsidRPr="00483C47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953928" w:rsidRPr="00483C47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953928" w:rsidRPr="00483C47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953928" w:rsidRPr="00483C47">
        <w:rPr>
          <w:rFonts w:eastAsia="Times New Roman" w:cs="Arial"/>
          <w:sz w:val="18"/>
          <w:szCs w:val="18"/>
          <w:lang w:eastAsia="pt-BR"/>
        </w:rPr>
        <w:t>. 335, 344, 345 e 564 do Código de Processo Civil.</w:t>
      </w:r>
    </w:p>
    <w:p w14:paraId="3A45758E" w14:textId="77777777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4178239" w14:textId="5750595D" w:rsidR="006213D2" w:rsidRPr="00483C47" w:rsidRDefault="006213D2" w:rsidP="006213D2">
      <w:pPr>
        <w:pStyle w:val="SemEspaamento"/>
        <w:rPr>
          <w:rFonts w:cs="Arial"/>
          <w:bCs/>
          <w:sz w:val="18"/>
          <w:szCs w:val="18"/>
        </w:rPr>
      </w:pPr>
      <w:r w:rsidRPr="00483C47">
        <w:rPr>
          <w:rFonts w:cs="Arial"/>
          <w:b/>
          <w:bCs/>
          <w:sz w:val="18"/>
          <w:szCs w:val="18"/>
        </w:rPr>
        <w:t xml:space="preserve">4. </w:t>
      </w:r>
      <w:r w:rsidRPr="00483C47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483C47">
        <w:rPr>
          <w:rStyle w:val="normaltextrun"/>
          <w:rFonts w:cs="Arial"/>
          <w:sz w:val="18"/>
          <w:szCs w:val="18"/>
        </w:rPr>
        <w:t xml:space="preserve"> </w:t>
      </w:r>
      <w:r w:rsidRPr="00483C47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4EBC4D6" w14:textId="77777777" w:rsidR="006213D2" w:rsidRPr="00483C47" w:rsidRDefault="006213D2" w:rsidP="006213D2">
      <w:pPr>
        <w:pStyle w:val="SemEspaamento"/>
        <w:rPr>
          <w:rFonts w:cs="Arial"/>
          <w:bCs/>
          <w:sz w:val="18"/>
          <w:szCs w:val="18"/>
        </w:rPr>
      </w:pPr>
      <w:r w:rsidRPr="00483C47">
        <w:rPr>
          <w:rFonts w:cs="Arial"/>
          <w:bCs/>
          <w:sz w:val="18"/>
          <w:szCs w:val="18"/>
        </w:rPr>
        <w:t>TELEFONE CELULAR (___</w:t>
      </w:r>
      <w:proofErr w:type="gramStart"/>
      <w:r w:rsidRPr="00483C47">
        <w:rPr>
          <w:rFonts w:cs="Arial"/>
          <w:bCs/>
          <w:sz w:val="18"/>
          <w:szCs w:val="18"/>
        </w:rPr>
        <w:t>_)_</w:t>
      </w:r>
      <w:proofErr w:type="gramEnd"/>
      <w:r w:rsidRPr="00483C47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83C47">
        <w:rPr>
          <w:rFonts w:cs="Arial"/>
          <w:bCs/>
          <w:sz w:val="18"/>
          <w:szCs w:val="18"/>
        </w:rPr>
        <w:t xml:space="preserve">(  </w:t>
      </w:r>
      <w:proofErr w:type="gramEnd"/>
      <w:r w:rsidRPr="00483C47">
        <w:rPr>
          <w:rFonts w:cs="Arial"/>
          <w:bCs/>
          <w:sz w:val="18"/>
          <w:szCs w:val="18"/>
        </w:rPr>
        <w:t xml:space="preserve"> ) SIM (   ) NÃO</w:t>
      </w:r>
    </w:p>
    <w:p w14:paraId="23EB1099" w14:textId="77777777" w:rsidR="006213D2" w:rsidRPr="00483C47" w:rsidRDefault="006213D2" w:rsidP="006213D2">
      <w:pPr>
        <w:pStyle w:val="SemEspaamento"/>
        <w:rPr>
          <w:rFonts w:cs="Arial"/>
          <w:bCs/>
          <w:sz w:val="18"/>
          <w:szCs w:val="18"/>
        </w:rPr>
      </w:pPr>
      <w:r w:rsidRPr="00483C47">
        <w:rPr>
          <w:rFonts w:cs="Arial"/>
          <w:bCs/>
          <w:sz w:val="18"/>
          <w:szCs w:val="18"/>
        </w:rPr>
        <w:t>E-MAIL _________________________________________________</w:t>
      </w:r>
    </w:p>
    <w:p w14:paraId="0019B2F7" w14:textId="0BE882AB" w:rsidR="006213D2" w:rsidRPr="00483C47" w:rsidRDefault="006213D2" w:rsidP="006213D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483C47">
        <w:rPr>
          <w:rFonts w:eastAsia="Times New Roman" w:cs="Arial"/>
          <w:sz w:val="18"/>
          <w:szCs w:val="18"/>
        </w:rPr>
        <w:t>O(</w:t>
      </w:r>
      <w:proofErr w:type="gramEnd"/>
      <w:r w:rsidRPr="00483C47">
        <w:rPr>
          <w:rFonts w:eastAsia="Times New Roman" w:cs="Arial"/>
          <w:sz w:val="18"/>
          <w:szCs w:val="18"/>
        </w:rPr>
        <w:t xml:space="preserve">A) Oficial de Justiça </w:t>
      </w:r>
      <w:r w:rsidRPr="00483C47">
        <w:rPr>
          <w:rFonts w:cs="Arial"/>
          <w:bCs/>
          <w:sz w:val="18"/>
          <w:szCs w:val="18"/>
        </w:rPr>
        <w:t>também</w:t>
      </w:r>
      <w:r w:rsidRPr="00483C47">
        <w:rPr>
          <w:rFonts w:eastAsia="Times New Roman" w:cs="Arial"/>
          <w:sz w:val="18"/>
          <w:szCs w:val="18"/>
        </w:rPr>
        <w:t xml:space="preserve"> d</w:t>
      </w:r>
      <w:r w:rsidRPr="00483C47">
        <w:rPr>
          <w:rFonts w:cs="Arial"/>
          <w:bCs/>
          <w:sz w:val="18"/>
          <w:szCs w:val="18"/>
        </w:rPr>
        <w:t xml:space="preserve">everá questionar se o(a) destinatário(a) </w:t>
      </w:r>
      <w:r w:rsidRPr="00483C47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247C478" w14:textId="77777777" w:rsidR="00953928" w:rsidRPr="00483C47" w:rsidRDefault="00953928" w:rsidP="0095392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64915B9" w14:textId="77777777" w:rsidR="00953928" w:rsidRPr="00483C47" w:rsidRDefault="00953928" w:rsidP="00953928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483C47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0C37E020" w14:textId="45B8AD68" w:rsidR="00FC104C" w:rsidRPr="00483C47" w:rsidRDefault="00953928" w:rsidP="006213D2">
      <w:pPr>
        <w:spacing w:after="0" w:line="240" w:lineRule="auto"/>
        <w:rPr>
          <w:rFonts w:cs="Arial"/>
        </w:rPr>
      </w:pPr>
      <w:r w:rsidRPr="00483C47">
        <w:rPr>
          <w:rFonts w:eastAsia="Times New Roman" w:cs="Arial"/>
          <w:sz w:val="14"/>
          <w:szCs w:val="14"/>
          <w:lang w:eastAsia="pt-BR"/>
        </w:rPr>
        <w:t xml:space="preserve">OBSERVAÇÃO: Comunicação expedida em conformidade com os documentos acessíveis pelo sistema </w:t>
      </w:r>
      <w:proofErr w:type="spellStart"/>
      <w:r w:rsidRPr="00483C47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483C47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483C47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483C47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483C47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483C47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483C47">
        <w:rPr>
          <w:rFonts w:eastAsia="Times New Roman" w:cs="Arial"/>
          <w:sz w:val="14"/>
          <w:szCs w:val="14"/>
          <w:lang w:eastAsia="pt-BR"/>
        </w:rPr>
        <w:t xml:space="preserve">. </w:t>
      </w:r>
      <w:r w:rsidRPr="00483C47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5AC49601" w14:textId="77777777" w:rsidR="006213D2" w:rsidRPr="00483C47" w:rsidRDefault="006213D2" w:rsidP="006213D2">
      <w:pPr>
        <w:spacing w:after="0" w:line="240" w:lineRule="auto"/>
        <w:rPr>
          <w:rFonts w:cs="Arial"/>
          <w:sz w:val="18"/>
          <w:szCs w:val="18"/>
        </w:rPr>
      </w:pPr>
    </w:p>
    <w:p w14:paraId="4B2F5263" w14:textId="6705B9F7" w:rsidR="006213D2" w:rsidRDefault="006213D2" w:rsidP="00483C47">
      <w:pPr>
        <w:spacing w:after="0" w:line="240" w:lineRule="auto"/>
        <w:rPr>
          <w:rFonts w:eastAsia="Arial" w:cs="Arial"/>
          <w:sz w:val="18"/>
          <w:szCs w:val="18"/>
        </w:rPr>
      </w:pPr>
      <w:r w:rsidRPr="00483C47">
        <w:rPr>
          <w:rFonts w:eastAsia="Arial" w:cs="Arial"/>
          <w:b/>
          <w:bCs/>
          <w:sz w:val="18"/>
          <w:szCs w:val="18"/>
        </w:rPr>
        <w:t>MUDOU DE ENDEREÇO?</w:t>
      </w:r>
      <w:r w:rsidRPr="00483C47">
        <w:rPr>
          <w:rFonts w:eastAsia="Arial" w:cs="Arial"/>
          <w:sz w:val="18"/>
          <w:szCs w:val="18"/>
        </w:rPr>
        <w:t xml:space="preserve"> É d</w:t>
      </w:r>
      <w:r w:rsidRPr="00483C47">
        <w:rPr>
          <w:rFonts w:cs="Arial"/>
          <w:sz w:val="18"/>
          <w:szCs w:val="18"/>
        </w:rPr>
        <w:t xml:space="preserve">ever da parte informar e manter atualizado 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483C47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483C47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483C47">
        <w:rPr>
          <w:rFonts w:eastAsia="Arial" w:cs="Arial"/>
          <w:sz w:val="18"/>
          <w:szCs w:val="18"/>
        </w:rPr>
        <w:t xml:space="preserve"> (</w:t>
      </w:r>
      <w:proofErr w:type="spellStart"/>
      <w:r w:rsidRPr="00483C47">
        <w:rPr>
          <w:rFonts w:eastAsia="Arial" w:cs="Arial"/>
          <w:sz w:val="18"/>
          <w:szCs w:val="18"/>
        </w:rPr>
        <w:t>arts</w:t>
      </w:r>
      <w:proofErr w:type="spellEnd"/>
      <w:r w:rsidRPr="00483C47">
        <w:rPr>
          <w:rFonts w:eastAsia="Arial" w:cs="Arial"/>
          <w:sz w:val="18"/>
          <w:szCs w:val="18"/>
        </w:rPr>
        <w:t>. 77 e 274, CPC; art. 217, §</w:t>
      </w:r>
      <w:r w:rsidR="00E007E6">
        <w:rPr>
          <w:rFonts w:eastAsia="Arial" w:cs="Arial"/>
          <w:sz w:val="18"/>
          <w:szCs w:val="18"/>
        </w:rPr>
        <w:t xml:space="preserve"> </w:t>
      </w:r>
      <w:r w:rsidRPr="00483C47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61BC36C2" w14:textId="77777777" w:rsidR="00E007E6" w:rsidRPr="00483C47" w:rsidRDefault="00E007E6" w:rsidP="00483C47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46198B6C" w14:textId="71787FCC" w:rsidR="006213D2" w:rsidRPr="00483C47" w:rsidRDefault="006213D2" w:rsidP="00483C47">
      <w:pPr>
        <w:spacing w:after="0" w:line="240" w:lineRule="auto"/>
        <w:rPr>
          <w:rFonts w:cs="Arial"/>
        </w:rPr>
      </w:pPr>
      <w:r w:rsidRPr="00483C47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483C47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483C47">
        <w:rPr>
          <w:rFonts w:cs="Arial"/>
          <w:sz w:val="18"/>
          <w:szCs w:val="18"/>
        </w:rPr>
        <w:t xml:space="preserve"> 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483C47">
        <w:rPr>
          <w:rFonts w:eastAsia="Arial" w:cs="Arial"/>
          <w:sz w:val="18"/>
          <w:szCs w:val="18"/>
        </w:rPr>
        <w:t>por meio de uma das seguintes formas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: </w:t>
      </w:r>
      <w:r w:rsidRPr="00483C47">
        <w:rPr>
          <w:rFonts w:eastAsia="Times New Roman" w:cs="Arial"/>
          <w:b/>
          <w:sz w:val="18"/>
          <w:szCs w:val="18"/>
          <w:lang w:eastAsia="pt-BR"/>
        </w:rPr>
        <w:t>a)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483C47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483C47">
        <w:rPr>
          <w:rFonts w:eastAsia="Times New Roman" w:cs="Arial"/>
          <w:sz w:val="18"/>
          <w:szCs w:val="18"/>
          <w:lang w:eastAsia="pt-BR"/>
        </w:rPr>
        <w:t xml:space="preserve">; </w:t>
      </w:r>
      <w:r w:rsidRPr="00483C47">
        <w:rPr>
          <w:rFonts w:eastAsia="Times New Roman" w:cs="Arial"/>
          <w:b/>
          <w:sz w:val="18"/>
          <w:szCs w:val="18"/>
          <w:lang w:eastAsia="pt-BR"/>
        </w:rPr>
        <w:t>b)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483C47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83C47">
        <w:rPr>
          <w:rFonts w:eastAsia="Times New Roman" w:cs="Arial"/>
          <w:b/>
          <w:sz w:val="18"/>
          <w:szCs w:val="18"/>
          <w:lang w:eastAsia="pt-BR"/>
        </w:rPr>
        <w:t>c)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483C47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483C47">
        <w:rPr>
          <w:rFonts w:eastAsia="Times New Roman" w:cs="Arial"/>
          <w:sz w:val="18"/>
          <w:szCs w:val="18"/>
          <w:lang w:eastAsia="pt-BR"/>
        </w:rPr>
        <w:t xml:space="preserve"> informados ao início deste </w:t>
      </w:r>
      <w:proofErr w:type="gramStart"/>
      <w:r w:rsidRPr="00483C47">
        <w:rPr>
          <w:rFonts w:eastAsia="Times New Roman" w:cs="Arial"/>
          <w:sz w:val="18"/>
          <w:szCs w:val="18"/>
          <w:lang w:eastAsia="pt-BR"/>
        </w:rPr>
        <w:t>documento</w:t>
      </w:r>
      <w:proofErr w:type="gramEnd"/>
      <w:r w:rsidRPr="00483C47">
        <w:rPr>
          <w:rFonts w:eastAsia="Times New Roman" w:cs="Arial"/>
          <w:sz w:val="18"/>
          <w:szCs w:val="18"/>
          <w:lang w:eastAsia="pt-BR"/>
        </w:rPr>
        <w:t xml:space="preserve">; </w:t>
      </w:r>
      <w:r w:rsidRPr="00483C47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483C47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6213D2" w:rsidRPr="00483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50"/>
    <w:rsid w:val="001E7604"/>
    <w:rsid w:val="0023796A"/>
    <w:rsid w:val="00483C47"/>
    <w:rsid w:val="005C3450"/>
    <w:rsid w:val="006213D2"/>
    <w:rsid w:val="006977C7"/>
    <w:rsid w:val="00953928"/>
    <w:rsid w:val="009F2B8E"/>
    <w:rsid w:val="00A517FD"/>
    <w:rsid w:val="00AC630D"/>
    <w:rsid w:val="00C2141B"/>
    <w:rsid w:val="00CB1028"/>
    <w:rsid w:val="00D85A3C"/>
    <w:rsid w:val="00E007E6"/>
    <w:rsid w:val="00FC104C"/>
    <w:rsid w:val="00FD63A4"/>
    <w:rsid w:val="01A541A5"/>
    <w:rsid w:val="0400CD06"/>
    <w:rsid w:val="0A67636A"/>
    <w:rsid w:val="1B30806B"/>
    <w:rsid w:val="41AF8727"/>
    <w:rsid w:val="6EDEF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166D"/>
  <w15:chartTrackingRefBased/>
  <w15:docId w15:val="{8ED887D0-246E-4C71-92CF-9DA72430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50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5C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C3450"/>
  </w:style>
  <w:style w:type="character" w:styleId="Forte">
    <w:name w:val="Strong"/>
    <w:basedOn w:val="Fontepargpadro"/>
    <w:uiPriority w:val="22"/>
    <w:qFormat/>
    <w:rsid w:val="00953928"/>
    <w:rPr>
      <w:b/>
      <w:bCs/>
    </w:rPr>
  </w:style>
  <w:style w:type="paragraph" w:styleId="Reviso">
    <w:name w:val="Revision"/>
    <w:hidden/>
    <w:uiPriority w:val="99"/>
    <w:semiHidden/>
    <w:rsid w:val="006213D2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6213D2"/>
    <w:pPr>
      <w:ind w:left="720"/>
      <w:contextualSpacing/>
    </w:pPr>
  </w:style>
  <w:style w:type="paragraph" w:styleId="SemEspaamento">
    <w:name w:val="No Spacing"/>
    <w:uiPriority w:val="1"/>
    <w:qFormat/>
    <w:rsid w:val="006213D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213D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6548B-CDC7-4BC2-BF0A-B1462D78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3CD35-3351-4656-B718-452BFA3B3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81616-87B6-46A9-BB10-FB638928548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3051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10</cp:revision>
  <dcterms:created xsi:type="dcterms:W3CDTF">2021-10-26T17:36:00Z</dcterms:created>
  <dcterms:modified xsi:type="dcterms:W3CDTF">2023-06-20T18:02:00Z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