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E7A7" w14:textId="77777777" w:rsidR="00805FCB" w:rsidRPr="00805FCB" w:rsidRDefault="00805FCB" w:rsidP="00805FC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C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05FC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805FC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B879E3F" w14:textId="77777777" w:rsidR="00805FCB" w:rsidRPr="00805FCB" w:rsidRDefault="00805FCB" w:rsidP="00805FC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C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05FC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CCEDA03" w14:textId="77777777" w:rsidR="00805FCB" w:rsidRPr="00805FCB" w:rsidRDefault="00805FCB" w:rsidP="00805FC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FC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05FCB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14A536C1" w14:textId="77777777" w:rsidR="00805FCB" w:rsidRPr="00805FCB" w:rsidRDefault="00805FCB" w:rsidP="0080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4D3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2024D3">
        <w:rPr>
          <w:rFonts w:eastAsia="Times New Roman" w:cs="Arial"/>
          <w:lang w:eastAsia="pt-BR"/>
        </w:rPr>
        <w:br/>
      </w:r>
      <w:r w:rsidRPr="00805FCB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805FCB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805FCB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132521F" w14:textId="77777777" w:rsidR="00805FCB" w:rsidRPr="002024D3" w:rsidRDefault="00805FCB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BC5B979" w14:textId="7A91863F" w:rsidR="00805FCB" w:rsidRPr="002024D3" w:rsidRDefault="00805FCB" w:rsidP="002024D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</w:t>
      </w: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E4407F" w:rsidRPr="00D20BCA">
        <w:rPr>
          <w:rFonts w:eastAsia="Times New Roman" w:cs="Arial"/>
          <w:sz w:val="18"/>
          <w:szCs w:val="18"/>
          <w:lang w:eastAsia="pt-BR"/>
        </w:rPr>
        <w:t xml:space="preserve"> </w:t>
      </w:r>
      <w:r w:rsidRPr="00D20BC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20BC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B693F1C" w14:textId="77777777" w:rsidR="00805FCB" w:rsidRPr="002024D3" w:rsidRDefault="00805FCB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A6DB3B" w14:textId="12D5D236" w:rsidR="00805FCB" w:rsidRPr="00D20BCA" w:rsidRDefault="00805FCB" w:rsidP="00805FC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E4407F" w:rsidRPr="00D20BCA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634E0F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E4407F" w:rsidRPr="00D20BCA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46F0AC7D" w14:textId="77777777" w:rsidR="00E4407F" w:rsidRPr="002024D3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AA9693D" w14:textId="75F15BE4" w:rsidR="00E4407F" w:rsidRPr="00D20BCA" w:rsidRDefault="00E4407F" w:rsidP="78200C0C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2024D3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Pr="002024D3">
        <w:rPr>
          <w:rFonts w:eastAsia="Times New Roman" w:cs="Arial"/>
          <w:b/>
          <w:sz w:val="18"/>
          <w:szCs w:val="18"/>
          <w:u w:val="single"/>
          <w:lang w:eastAsia="pt-BR"/>
        </w:rPr>
        <w:t>INTIMADO(A)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a efetuar o pagamento das custas finais no prazo de vencimento da</w:t>
      </w:r>
      <w:r w:rsidR="0092250E">
        <w:rPr>
          <w:rFonts w:eastAsia="Times New Roman" w:cs="Arial"/>
          <w:sz w:val="18"/>
          <w:szCs w:val="18"/>
          <w:lang w:eastAsia="pt-BR"/>
        </w:rPr>
        <w:t>(s)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guia</w:t>
      </w:r>
      <w:r w:rsidR="0092250E">
        <w:rPr>
          <w:rFonts w:eastAsia="Times New Roman" w:cs="Arial"/>
          <w:sz w:val="18"/>
          <w:szCs w:val="18"/>
          <w:lang w:eastAsia="pt-BR"/>
        </w:rPr>
        <w:t>(s)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de recolhimento de custas</w:t>
      </w:r>
      <w:r w:rsidR="00B30A0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D20BCA">
        <w:rPr>
          <w:rFonts w:eastAsia="Times New Roman" w:cs="Arial"/>
          <w:sz w:val="18"/>
          <w:szCs w:val="18"/>
          <w:lang w:eastAsia="pt-BR"/>
        </w:rPr>
        <w:t> </w:t>
      </w: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em anexo</w:t>
      </w:r>
      <w:r w:rsidRPr="00D20BCA">
        <w:rPr>
          <w:rFonts w:eastAsia="Times New Roman" w:cs="Arial"/>
          <w:sz w:val="18"/>
          <w:szCs w:val="18"/>
          <w:lang w:eastAsia="pt-BR"/>
        </w:rPr>
        <w:t>, vinculada</w:t>
      </w:r>
      <w:r w:rsidR="0092250E">
        <w:rPr>
          <w:rFonts w:eastAsia="Times New Roman" w:cs="Arial"/>
          <w:sz w:val="18"/>
          <w:szCs w:val="18"/>
          <w:lang w:eastAsia="pt-BR"/>
        </w:rPr>
        <w:t>(s)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no sistema </w:t>
      </w:r>
      <w:proofErr w:type="spellStart"/>
      <w:r w:rsidRPr="00D20BCA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Pr="00D20BCA">
        <w:rPr>
          <w:rFonts w:eastAsia="Times New Roman" w:cs="Arial"/>
          <w:sz w:val="18"/>
          <w:szCs w:val="18"/>
          <w:lang w:eastAsia="pt-BR"/>
        </w:rPr>
        <w:t xml:space="preserve"> aos autos n° $</w:t>
      </w:r>
      <w:proofErr w:type="spellStart"/>
      <w:r w:rsidRPr="00D20BCA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D20BCA">
        <w:rPr>
          <w:rFonts w:eastAsia="Times New Roman" w:cs="Arial"/>
          <w:sz w:val="18"/>
          <w:szCs w:val="18"/>
          <w:lang w:eastAsia="pt-BR"/>
        </w:rPr>
        <w:t xml:space="preserve">, 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em cumprimento ao procedimento regulamentado pela Instrução Normativa nº 12/2017 da Corregedoria-Geral da Justiça do TJPR, </w:t>
      </w:r>
      <w:r w:rsidR="00805FCB" w:rsidRPr="002024D3">
        <w:rPr>
          <w:rFonts w:eastAsia="Times New Roman" w:cs="Arial"/>
          <w:b/>
          <w:sz w:val="18"/>
          <w:szCs w:val="18"/>
          <w:lang w:eastAsia="pt-BR"/>
        </w:rPr>
        <w:t>sob pena de protesto</w:t>
      </w:r>
      <w:r w:rsidR="0092250E">
        <w:rPr>
          <w:rFonts w:eastAsia="Times New Roman" w:cs="Arial"/>
          <w:sz w:val="18"/>
          <w:szCs w:val="18"/>
          <w:lang w:eastAsia="pt-BR"/>
        </w:rPr>
        <w:t>.</w:t>
      </w:r>
    </w:p>
    <w:p w14:paraId="2F3539E8" w14:textId="2711E6F8" w:rsidR="00805FCB" w:rsidRPr="002024D3" w:rsidRDefault="00805FCB" w:rsidP="78200C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91FE438" w14:textId="635395E7" w:rsidR="00E4407F" w:rsidRPr="00D20BCA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Pr="002024D3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805FCB" w:rsidRPr="00D20BC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</w:t>
      </w:r>
      <w:r w:rsidRPr="00D20BC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IDO(A</w:t>
      </w:r>
      <w:r w:rsidRPr="002024D3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20BCA">
        <w:rPr>
          <w:rFonts w:eastAsia="Times New Roman" w:cs="Arial"/>
          <w:bCs/>
          <w:sz w:val="18"/>
          <w:szCs w:val="18"/>
          <w:lang w:eastAsia="pt-BR"/>
        </w:rPr>
        <w:t>de que</w:t>
      </w:r>
      <w:r w:rsidR="00805FCB" w:rsidRPr="002024D3">
        <w:rPr>
          <w:rFonts w:eastAsia="Times New Roman" w:cs="Arial"/>
          <w:sz w:val="18"/>
          <w:szCs w:val="18"/>
          <w:lang w:eastAsia="pt-BR"/>
        </w:rPr>
        <w:t>:</w:t>
      </w:r>
    </w:p>
    <w:p w14:paraId="439F684E" w14:textId="18AABB14" w:rsidR="008A735A" w:rsidRPr="00D20BCA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024D3">
        <w:rPr>
          <w:rFonts w:eastAsia="Times New Roman" w:cs="Arial"/>
          <w:b/>
          <w:sz w:val="18"/>
          <w:szCs w:val="18"/>
          <w:lang w:eastAsia="pt-BR"/>
        </w:rPr>
        <w:t xml:space="preserve">2.1. 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O não pagamento dos valores importará emissão de </w:t>
      </w:r>
      <w:r w:rsidR="00805FCB" w:rsidRPr="00D20BCA">
        <w:rPr>
          <w:rFonts w:eastAsia="Times New Roman" w:cs="Arial"/>
          <w:sz w:val="18"/>
          <w:szCs w:val="18"/>
          <w:u w:val="single"/>
          <w:lang w:eastAsia="pt-BR"/>
        </w:rPr>
        <w:t>Certidão de Crédito Judicial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 a ser encaminhada a </w:t>
      </w:r>
      <w:r w:rsidR="00805FCB" w:rsidRPr="00D20BCA">
        <w:rPr>
          <w:rFonts w:eastAsia="Times New Roman" w:cs="Arial"/>
          <w:sz w:val="18"/>
          <w:szCs w:val="18"/>
          <w:u w:val="single"/>
          <w:lang w:eastAsia="pt-BR"/>
        </w:rPr>
        <w:t>protesto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 e </w:t>
      </w:r>
      <w:r w:rsidR="00805FCB" w:rsidRPr="00D20BCA">
        <w:rPr>
          <w:rFonts w:eastAsia="Times New Roman" w:cs="Arial"/>
          <w:sz w:val="18"/>
          <w:szCs w:val="18"/>
          <w:u w:val="single"/>
          <w:lang w:eastAsia="pt-BR"/>
        </w:rPr>
        <w:t>lançamento em dívida ativa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 - na forma prevista nos </w:t>
      </w:r>
      <w:proofErr w:type="spellStart"/>
      <w:r w:rsidR="00805FCB" w:rsidRPr="00D20BC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805FCB" w:rsidRPr="00D20BCA">
        <w:rPr>
          <w:rFonts w:eastAsia="Times New Roman" w:cs="Arial"/>
          <w:sz w:val="18"/>
          <w:szCs w:val="18"/>
          <w:lang w:eastAsia="pt-BR"/>
        </w:rPr>
        <w:t>. 847 a 858 do Código de Normas do Foro Extrajudicial do TJPR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(Provimento nº 249/2013)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 -, sem prejuízo da </w:t>
      </w:r>
      <w:r w:rsidR="00805FCB" w:rsidRPr="00D20BCA">
        <w:rPr>
          <w:rFonts w:eastAsia="Times New Roman" w:cs="Arial"/>
          <w:sz w:val="18"/>
          <w:szCs w:val="18"/>
          <w:u w:val="single"/>
          <w:lang w:eastAsia="pt-BR"/>
        </w:rPr>
        <w:t>inclusão do nome do devedor nos órgãos de proteção ao crédito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 (SPC/SERASA)</w:t>
      </w:r>
      <w:r w:rsidRPr="00D20BCA">
        <w:rPr>
          <w:rFonts w:eastAsia="Times New Roman" w:cs="Arial"/>
          <w:sz w:val="18"/>
          <w:szCs w:val="18"/>
          <w:lang w:eastAsia="pt-BR"/>
        </w:rPr>
        <w:t>;</w:t>
      </w:r>
    </w:p>
    <w:p w14:paraId="27FB3A19" w14:textId="049BDD7F" w:rsidR="00805FCB" w:rsidRPr="002024D3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024D3">
        <w:rPr>
          <w:rFonts w:eastAsia="Times New Roman" w:cs="Arial"/>
          <w:b/>
          <w:sz w:val="18"/>
          <w:szCs w:val="18"/>
          <w:lang w:eastAsia="pt-BR"/>
        </w:rPr>
        <w:t>2.2.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 xml:space="preserve">Após o encaminhamento da Certidão de Crédito Judicial para protesto, o pagamento do débito deverá ser efetuado, </w:t>
      </w:r>
      <w:r w:rsidR="00805FCB" w:rsidRPr="00D20BC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exclusivamente:</w:t>
      </w:r>
    </w:p>
    <w:p w14:paraId="6BF08920" w14:textId="77777777" w:rsidR="00805FCB" w:rsidRPr="002024D3" w:rsidRDefault="00805FCB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durante o tríduo previsto no art. 12 da Lei nº 9.492/1997, no Tabelionato de Protesto de Títulos competente;</w:t>
      </w:r>
    </w:p>
    <w:p w14:paraId="05C98BBC" w14:textId="68D7A0EA" w:rsidR="00805FCB" w:rsidRPr="002024D3" w:rsidRDefault="00805FCB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após a lavratura do protesto, por meio de guia pós-protesto emitida no Portal do TJPR</w:t>
      </w:r>
      <w:r w:rsidR="00D20BCA">
        <w:rPr>
          <w:rFonts w:eastAsia="Times New Roman" w:cs="Arial"/>
          <w:sz w:val="18"/>
          <w:szCs w:val="18"/>
          <w:lang w:eastAsia="pt-BR"/>
        </w:rPr>
        <w:t>;</w:t>
      </w:r>
    </w:p>
    <w:p w14:paraId="20026F8F" w14:textId="7F474441" w:rsidR="00805FCB" w:rsidRPr="00D20BCA" w:rsidRDefault="00D20BCA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024D3">
        <w:rPr>
          <w:rFonts w:eastAsia="Times New Roman" w:cs="Arial"/>
          <w:b/>
          <w:sz w:val="18"/>
          <w:szCs w:val="18"/>
          <w:lang w:eastAsia="pt-BR"/>
        </w:rPr>
        <w:t>2.</w:t>
      </w:r>
      <w:r w:rsidR="0092250E">
        <w:rPr>
          <w:rFonts w:eastAsia="Times New Roman" w:cs="Arial"/>
          <w:b/>
          <w:sz w:val="18"/>
          <w:szCs w:val="18"/>
          <w:lang w:eastAsia="pt-BR"/>
        </w:rPr>
        <w:t>3.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805FCB" w:rsidRPr="00D20BCA">
        <w:rPr>
          <w:rFonts w:eastAsia="Times New Roman" w:cs="Arial"/>
          <w:sz w:val="18"/>
          <w:szCs w:val="18"/>
          <w:lang w:eastAsia="pt-BR"/>
        </w:rPr>
        <w:t>A baixa do protesto ocorrerá somente depois da quitação dos emolumentos e demais despesas perante o respectivo Tabelionato de Protesto de Títulos.</w:t>
      </w:r>
    </w:p>
    <w:p w14:paraId="1ACC6424" w14:textId="2E2A680F" w:rsidR="00E4407F" w:rsidRPr="00D20BCA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2BE6DD05" w14:textId="52B9CCED" w:rsidR="00E4407F" w:rsidRPr="002024D3" w:rsidRDefault="00E4407F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20BC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D20BC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D20BCA">
        <w:rPr>
          <w:rFonts w:cs="Arial"/>
          <w:sz w:val="18"/>
          <w:szCs w:val="18"/>
        </w:rPr>
        <w:t xml:space="preserve"> 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D20BCA">
        <w:rPr>
          <w:rFonts w:eastAsia="Arial" w:cs="Arial"/>
          <w:sz w:val="18"/>
          <w:szCs w:val="18"/>
        </w:rPr>
        <w:t>por meio de uma das seguintes formas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D20BCA">
        <w:rPr>
          <w:rFonts w:eastAsia="Times New Roman" w:cs="Arial"/>
          <w:b/>
          <w:sz w:val="18"/>
          <w:szCs w:val="18"/>
          <w:lang w:eastAsia="pt-BR"/>
        </w:rPr>
        <w:t>a)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D20BCA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D20BC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D20BCA">
        <w:rPr>
          <w:rFonts w:eastAsia="Times New Roman" w:cs="Arial"/>
          <w:b/>
          <w:sz w:val="18"/>
          <w:szCs w:val="18"/>
          <w:lang w:eastAsia="pt-BR"/>
        </w:rPr>
        <w:t>b)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D20BC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D20BCA">
        <w:rPr>
          <w:rFonts w:eastAsia="Times New Roman" w:cs="Arial"/>
          <w:b/>
          <w:sz w:val="18"/>
          <w:szCs w:val="18"/>
          <w:lang w:eastAsia="pt-BR"/>
        </w:rPr>
        <w:t>c)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D20BC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D20BC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D20BC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D20BC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87E86A3" w14:textId="77777777" w:rsidR="00805FCB" w:rsidRPr="002024D3" w:rsidRDefault="00805FCB" w:rsidP="00805F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8FFCBD8" w14:textId="77777777" w:rsidR="00805FCB" w:rsidRPr="002024D3" w:rsidRDefault="00805FCB" w:rsidP="0080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024D3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83BF2E4" w14:textId="588639E0" w:rsidR="00805FCB" w:rsidRPr="002024D3" w:rsidRDefault="00805FCB" w:rsidP="0080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024D3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E4407F" w:rsidRPr="002024D3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2024D3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E4407F" w:rsidRPr="002024D3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2024D3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4B9A4B4F" w14:textId="4758F872" w:rsidR="00FC104C" w:rsidRPr="00B30A01" w:rsidRDefault="00E4407F" w:rsidP="00B30A01">
      <w:pPr>
        <w:spacing w:after="0" w:line="240" w:lineRule="auto"/>
        <w:rPr>
          <w:sz w:val="14"/>
          <w:szCs w:val="14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B30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413C" w14:textId="77777777" w:rsidR="000A487D" w:rsidRDefault="000A487D" w:rsidP="000A487D">
      <w:pPr>
        <w:spacing w:after="0" w:line="240" w:lineRule="auto"/>
      </w:pPr>
      <w:r>
        <w:separator/>
      </w:r>
    </w:p>
  </w:endnote>
  <w:endnote w:type="continuationSeparator" w:id="0">
    <w:p w14:paraId="4CC3B5F5" w14:textId="77777777" w:rsidR="000A487D" w:rsidRDefault="000A487D" w:rsidP="000A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5B0C" w14:textId="77777777" w:rsidR="000A487D" w:rsidRDefault="000A487D" w:rsidP="000A487D">
      <w:pPr>
        <w:spacing w:after="0" w:line="240" w:lineRule="auto"/>
      </w:pPr>
      <w:r>
        <w:separator/>
      </w:r>
    </w:p>
  </w:footnote>
  <w:footnote w:type="continuationSeparator" w:id="0">
    <w:p w14:paraId="768FD981" w14:textId="77777777" w:rsidR="000A487D" w:rsidRDefault="000A487D" w:rsidP="000A487D">
      <w:pPr>
        <w:spacing w:after="0" w:line="240" w:lineRule="auto"/>
      </w:pPr>
      <w:r>
        <w:continuationSeparator/>
      </w:r>
    </w:p>
  </w:footnote>
  <w:footnote w:id="1">
    <w:p w14:paraId="45395D6D" w14:textId="5741E448" w:rsidR="00B30A01" w:rsidRDefault="00B30A01" w:rsidP="002024D3">
      <w:pPr>
        <w:spacing w:after="0" w:line="240" w:lineRule="auto"/>
      </w:pPr>
      <w:r w:rsidRPr="002024D3">
        <w:rPr>
          <w:rStyle w:val="Refdenotaderodap"/>
          <w:sz w:val="14"/>
          <w:szCs w:val="14"/>
        </w:rPr>
        <w:footnoteRef/>
      </w:r>
      <w:r w:rsidRPr="002024D3">
        <w:rPr>
          <w:sz w:val="14"/>
          <w:szCs w:val="14"/>
        </w:rPr>
        <w:t xml:space="preserve"> Instrução Normativa nº 12/2017 – CGJ: “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Art. 2º. “O devedor será intimado, por meio de seu procurador legalmente constituído, para efetuar o recolhimento dos valores devidos a título de custas processuais.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1º Não havendo procurador constituído nos autos, a intimação do devedor será realizada por carta com AR.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2° O prazo de recolhimento da guia será de 40 (quarenta) dias ininterruptos, no caso em que houver advogado constituído no processo, e de 60 (sessenta) dias ininterruptos quando inexistir patrono habilitado.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3º As custas e despesas processuais decorrentes da intimação pelo correio integrarão as custas finais para efeito de protesto.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4º Os valores não serão encaminhados a protesto quando as custas e as despesas com a intimação pelo correio, incluindo gastos postais, forem superiores ao valor do débito.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5º A intimação deverá conter a advertência de que o inadimplemento das custas ocasionará a emissão de CCJ, o protesto do valor devido e o lançamento em dívida ativa, sem prejuízo da inclusão do nome do devedor nos órgãos de proteção ao crédito (modelos anexos).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6° A Unidade Judiciária preparará, no Sistema Uniformizado (intranet), a guia de custas finais correspondente ao débito.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 xml:space="preserve">§ 7º Compete à Unidade Judiciária, nos processos eletrônicos, vincular a guia de custas finais no Sistema </w:t>
      </w:r>
      <w:proofErr w:type="spellStart"/>
      <w:r w:rsidRPr="002024D3">
        <w:rPr>
          <w:rFonts w:eastAsia="Times New Roman" w:cs="Arial"/>
          <w:iCs/>
          <w:sz w:val="14"/>
          <w:szCs w:val="14"/>
          <w:lang w:eastAsia="pt-BR"/>
        </w:rPr>
        <w:t>Projudi</w:t>
      </w:r>
      <w:proofErr w:type="spellEnd"/>
      <w:r w:rsidRPr="002024D3">
        <w:rPr>
          <w:rFonts w:eastAsia="Times New Roman" w:cs="Arial"/>
          <w:iCs/>
          <w:sz w:val="14"/>
          <w:szCs w:val="14"/>
          <w:lang w:eastAsia="pt-BR"/>
        </w:rPr>
        <w:t>, até a criação de ferramenta de vinculação automática.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8º A intimação pelo correio será acompanhada da guia de custas finais.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9° Somente serão encaminhadas a protesto as custas e despesas processuais cujos devedores sejam domiciliados no Estado do Paraná, salvo outro convênio dispondo de forma diversa.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10. Somente serão encaminhadas a protesto as custas e despesas processuais pendentes relativas a processo cujo trânsito em julgado tenha ocorrido há menos de 5 (cinco) anos.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>§ 11. Havendo valores devidos a título de custas processuais ao final do processo, faz-se necessária a geração da guia de custas finais, inclusive na hipótese do §4° deste artigo, para cumprimento do disposto no art. 9°.</w:t>
      </w:r>
      <w:r>
        <w:rPr>
          <w:rFonts w:eastAsia="Times New Roman" w:cs="Arial"/>
          <w:iCs/>
          <w:sz w:val="14"/>
          <w:szCs w:val="14"/>
          <w:lang w:eastAsia="pt-BR"/>
        </w:rPr>
        <w:t xml:space="preserve"> </w:t>
      </w:r>
      <w:r w:rsidRPr="002024D3">
        <w:rPr>
          <w:rFonts w:eastAsia="Times New Roman" w:cs="Arial"/>
          <w:iCs/>
          <w:sz w:val="14"/>
          <w:szCs w:val="14"/>
          <w:lang w:eastAsia="pt-BR"/>
        </w:rPr>
        <w:t xml:space="preserve">§ 12. Caso </w:t>
      </w:r>
      <w:proofErr w:type="spellStart"/>
      <w:r w:rsidRPr="002024D3">
        <w:rPr>
          <w:rFonts w:eastAsia="Times New Roman" w:cs="Arial"/>
          <w:iCs/>
          <w:sz w:val="14"/>
          <w:szCs w:val="14"/>
          <w:lang w:eastAsia="pt-BR"/>
        </w:rPr>
        <w:t>inexitosa</w:t>
      </w:r>
      <w:proofErr w:type="spellEnd"/>
      <w:r w:rsidRPr="002024D3">
        <w:rPr>
          <w:rFonts w:eastAsia="Times New Roman" w:cs="Arial"/>
          <w:iCs/>
          <w:sz w:val="14"/>
          <w:szCs w:val="14"/>
          <w:lang w:eastAsia="pt-BR"/>
        </w:rPr>
        <w:t xml:space="preserve"> a intimação do devedor a que se referiu o § 1º deste artigo, a Secretaria deverá aguardar o vencimento da guia de custas finais, sem o pagamento, e, a partir de então, preparar a Comunicação de Custas Não Pagas, na forma do art. 9º.</w:t>
      </w:r>
      <w:r w:rsidRPr="002024D3">
        <w:rPr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A"/>
    <w:rsid w:val="000A487D"/>
    <w:rsid w:val="002024D3"/>
    <w:rsid w:val="0023796A"/>
    <w:rsid w:val="002E6BCA"/>
    <w:rsid w:val="00312551"/>
    <w:rsid w:val="003811AD"/>
    <w:rsid w:val="003C5983"/>
    <w:rsid w:val="00634E0F"/>
    <w:rsid w:val="007C2D2B"/>
    <w:rsid w:val="00805FCB"/>
    <w:rsid w:val="008A735A"/>
    <w:rsid w:val="0092250E"/>
    <w:rsid w:val="00B30A01"/>
    <w:rsid w:val="00CB1028"/>
    <w:rsid w:val="00D20BCA"/>
    <w:rsid w:val="00D52CFC"/>
    <w:rsid w:val="00E4407F"/>
    <w:rsid w:val="00FC104C"/>
    <w:rsid w:val="1FD5455C"/>
    <w:rsid w:val="456F0A2C"/>
    <w:rsid w:val="582180B0"/>
    <w:rsid w:val="64FFC963"/>
    <w:rsid w:val="72DAA678"/>
    <w:rsid w:val="782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CE0D4"/>
  <w15:chartTrackingRefBased/>
  <w15:docId w15:val="{891F8E4F-17C2-4A16-BA46-17A7916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C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2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E6BC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48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487D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487D"/>
    <w:rPr>
      <w:vertAlign w:val="superscript"/>
    </w:rPr>
  </w:style>
  <w:style w:type="character" w:styleId="Forte">
    <w:name w:val="Strong"/>
    <w:basedOn w:val="Fontepargpadro"/>
    <w:uiPriority w:val="22"/>
    <w:qFormat/>
    <w:rsid w:val="00805F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05F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35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DEDB-21B9-4EC4-B348-70D2C7E9736B}">
  <ds:schemaRefs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BA3DB-9B3F-4FE5-89F9-2C48EDE70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6B12A-6211-49A4-87B2-93FD042C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F6D86-2018-48E6-9BE1-CF04421E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2021-10-26T17:03:00Z</dcterms:created>
  <dcterms:modified xsi:type="dcterms:W3CDTF">2023-06-19T21:04:00Z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